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90D" w:rsidRPr="00622567" w:rsidRDefault="00622567" w:rsidP="00B10F30">
      <w:pPr>
        <w:pStyle w:val="Titre"/>
        <w:spacing w:before="240"/>
      </w:pPr>
      <w:r>
        <w:t xml:space="preserve"> </w:t>
      </w:r>
      <w:r w:rsidR="000C0D74" w:rsidRPr="00622567">
        <w:t>L’agora de l’autonomie</w:t>
      </w:r>
      <w:r w:rsidR="00B10F30">
        <w:t xml:space="preserve"> : </w:t>
      </w:r>
      <w:bookmarkStart w:id="0" w:name="_GoBack"/>
      <w:bookmarkEnd w:id="0"/>
      <w:r w:rsidR="00B10F30">
        <w:t>v</w:t>
      </w:r>
      <w:r w:rsidR="000C0D74" w:rsidRPr="00622567">
        <w:t>ers un dispositif partagé de soutien aux liens science-société</w:t>
      </w:r>
    </w:p>
    <w:p w:rsidR="000C0D74" w:rsidRPr="00622567" w:rsidRDefault="000C0D74" w:rsidP="00622567">
      <w:pPr>
        <w:pStyle w:val="Titre"/>
      </w:pPr>
      <w:r w:rsidRPr="00622567">
        <w:t xml:space="preserve">Version texte accessible du </w:t>
      </w:r>
      <w:r w:rsidR="00622567">
        <w:t>s</w:t>
      </w:r>
      <w:r w:rsidRPr="00622567">
        <w:t>upport de présentation pour la restitution publique d’une étude de faisabilité</w:t>
      </w:r>
    </w:p>
    <w:p w:rsidR="000C0D74" w:rsidRPr="00622567" w:rsidRDefault="000C0D74" w:rsidP="00622567">
      <w:pPr>
        <w:pStyle w:val="Titre"/>
      </w:pPr>
      <w:r w:rsidRPr="00622567">
        <w:t>18 décembre 2025</w:t>
      </w:r>
    </w:p>
    <w:p w:rsidR="00B10F30" w:rsidRDefault="00622567">
      <w:pPr>
        <w:pStyle w:val="TM1"/>
        <w:tabs>
          <w:tab w:val="right" w:leader="dot" w:pos="9062"/>
        </w:tabs>
        <w:rPr>
          <w:rFonts w:eastAsiaTheme="minorEastAsia"/>
          <w:noProof/>
          <w:lang w:eastAsia="fr-FR"/>
        </w:rPr>
      </w:pPr>
      <w:r>
        <w:fldChar w:fldCharType="begin"/>
      </w:r>
      <w:r>
        <w:instrText xml:space="preserve"> TOC \o "1-2" \h \z \u </w:instrText>
      </w:r>
      <w:r>
        <w:fldChar w:fldCharType="separate"/>
      </w:r>
      <w:hyperlink w:anchor="_Toc216865636" w:history="1">
        <w:r w:rsidR="00B10F30" w:rsidRPr="005127B5">
          <w:rPr>
            <w:rStyle w:val="Lienhypertexte"/>
            <w:noProof/>
          </w:rPr>
          <w:t>A propos</w:t>
        </w:r>
        <w:r w:rsidR="00B10F30">
          <w:rPr>
            <w:noProof/>
            <w:webHidden/>
          </w:rPr>
          <w:tab/>
        </w:r>
        <w:r w:rsidR="00B10F30">
          <w:rPr>
            <w:noProof/>
            <w:webHidden/>
          </w:rPr>
          <w:fldChar w:fldCharType="begin"/>
        </w:r>
        <w:r w:rsidR="00B10F30">
          <w:rPr>
            <w:noProof/>
            <w:webHidden/>
          </w:rPr>
          <w:instrText xml:space="preserve"> PAGEREF _Toc216865636 \h </w:instrText>
        </w:r>
        <w:r w:rsidR="00B10F30">
          <w:rPr>
            <w:noProof/>
            <w:webHidden/>
          </w:rPr>
        </w:r>
        <w:r w:rsidR="00B10F30">
          <w:rPr>
            <w:noProof/>
            <w:webHidden/>
          </w:rPr>
          <w:fldChar w:fldCharType="separate"/>
        </w:r>
        <w:r w:rsidR="00B10F30">
          <w:rPr>
            <w:noProof/>
            <w:webHidden/>
          </w:rPr>
          <w:t>2</w:t>
        </w:r>
        <w:r w:rsidR="00B10F30">
          <w:rPr>
            <w:noProof/>
            <w:webHidden/>
          </w:rPr>
          <w:fldChar w:fldCharType="end"/>
        </w:r>
      </w:hyperlink>
    </w:p>
    <w:p w:rsidR="00B10F30" w:rsidRDefault="00B10F30">
      <w:pPr>
        <w:pStyle w:val="TM2"/>
        <w:tabs>
          <w:tab w:val="right" w:leader="dot" w:pos="9062"/>
        </w:tabs>
        <w:rPr>
          <w:rFonts w:eastAsiaTheme="minorEastAsia"/>
          <w:noProof/>
          <w:lang w:eastAsia="fr-FR"/>
        </w:rPr>
      </w:pPr>
      <w:hyperlink w:anchor="_Toc216865637" w:history="1">
        <w:r w:rsidRPr="005127B5">
          <w:rPr>
            <w:rStyle w:val="Lienhypertexte"/>
            <w:noProof/>
          </w:rPr>
          <w:t>Le groupe de travail interinstitutionnel Fedrha-FIRAH-PPR Autonomie</w:t>
        </w:r>
        <w:r>
          <w:rPr>
            <w:noProof/>
            <w:webHidden/>
          </w:rPr>
          <w:tab/>
        </w:r>
        <w:r>
          <w:rPr>
            <w:noProof/>
            <w:webHidden/>
          </w:rPr>
          <w:fldChar w:fldCharType="begin"/>
        </w:r>
        <w:r>
          <w:rPr>
            <w:noProof/>
            <w:webHidden/>
          </w:rPr>
          <w:instrText xml:space="preserve"> PAGEREF _Toc216865637 \h </w:instrText>
        </w:r>
        <w:r>
          <w:rPr>
            <w:noProof/>
            <w:webHidden/>
          </w:rPr>
        </w:r>
        <w:r>
          <w:rPr>
            <w:noProof/>
            <w:webHidden/>
          </w:rPr>
          <w:fldChar w:fldCharType="separate"/>
        </w:r>
        <w:r>
          <w:rPr>
            <w:noProof/>
            <w:webHidden/>
          </w:rPr>
          <w:t>2</w:t>
        </w:r>
        <w:r>
          <w:rPr>
            <w:noProof/>
            <w:webHidden/>
          </w:rPr>
          <w:fldChar w:fldCharType="end"/>
        </w:r>
      </w:hyperlink>
    </w:p>
    <w:p w:rsidR="00B10F30" w:rsidRDefault="00B10F30">
      <w:pPr>
        <w:pStyle w:val="TM2"/>
        <w:tabs>
          <w:tab w:val="right" w:leader="dot" w:pos="9062"/>
        </w:tabs>
        <w:rPr>
          <w:rFonts w:eastAsiaTheme="minorEastAsia"/>
          <w:noProof/>
          <w:lang w:eastAsia="fr-FR"/>
        </w:rPr>
      </w:pPr>
      <w:hyperlink w:anchor="_Toc216865638" w:history="1">
        <w:r w:rsidRPr="005127B5">
          <w:rPr>
            <w:rStyle w:val="Lienhypertexte"/>
            <w:noProof/>
          </w:rPr>
          <w:t>Donner la parole aux acteurs : l’ambition de notre méthodologie de travail</w:t>
        </w:r>
        <w:r>
          <w:rPr>
            <w:noProof/>
            <w:webHidden/>
          </w:rPr>
          <w:tab/>
        </w:r>
        <w:r>
          <w:rPr>
            <w:noProof/>
            <w:webHidden/>
          </w:rPr>
          <w:fldChar w:fldCharType="begin"/>
        </w:r>
        <w:r>
          <w:rPr>
            <w:noProof/>
            <w:webHidden/>
          </w:rPr>
          <w:instrText xml:space="preserve"> PAGEREF _Toc216865638 \h </w:instrText>
        </w:r>
        <w:r>
          <w:rPr>
            <w:noProof/>
            <w:webHidden/>
          </w:rPr>
        </w:r>
        <w:r>
          <w:rPr>
            <w:noProof/>
            <w:webHidden/>
          </w:rPr>
          <w:fldChar w:fldCharType="separate"/>
        </w:r>
        <w:r>
          <w:rPr>
            <w:noProof/>
            <w:webHidden/>
          </w:rPr>
          <w:t>2</w:t>
        </w:r>
        <w:r>
          <w:rPr>
            <w:noProof/>
            <w:webHidden/>
          </w:rPr>
          <w:fldChar w:fldCharType="end"/>
        </w:r>
      </w:hyperlink>
    </w:p>
    <w:p w:rsidR="00B10F30" w:rsidRDefault="00B10F30">
      <w:pPr>
        <w:pStyle w:val="TM1"/>
        <w:tabs>
          <w:tab w:val="right" w:leader="dot" w:pos="9062"/>
        </w:tabs>
        <w:rPr>
          <w:rFonts w:eastAsiaTheme="minorEastAsia"/>
          <w:noProof/>
          <w:lang w:eastAsia="fr-FR"/>
        </w:rPr>
      </w:pPr>
      <w:hyperlink w:anchor="_Toc216865639" w:history="1">
        <w:r w:rsidRPr="005127B5">
          <w:rPr>
            <w:rStyle w:val="Lienhypertexte"/>
            <w:noProof/>
          </w:rPr>
          <w:t>Contexte et dynamiques des liens science-société</w:t>
        </w:r>
        <w:r>
          <w:rPr>
            <w:noProof/>
            <w:webHidden/>
          </w:rPr>
          <w:tab/>
        </w:r>
        <w:r>
          <w:rPr>
            <w:noProof/>
            <w:webHidden/>
          </w:rPr>
          <w:fldChar w:fldCharType="begin"/>
        </w:r>
        <w:r>
          <w:rPr>
            <w:noProof/>
            <w:webHidden/>
          </w:rPr>
          <w:instrText xml:space="preserve"> PAGEREF _Toc216865639 \h </w:instrText>
        </w:r>
        <w:r>
          <w:rPr>
            <w:noProof/>
            <w:webHidden/>
          </w:rPr>
        </w:r>
        <w:r>
          <w:rPr>
            <w:noProof/>
            <w:webHidden/>
          </w:rPr>
          <w:fldChar w:fldCharType="separate"/>
        </w:r>
        <w:r>
          <w:rPr>
            <w:noProof/>
            <w:webHidden/>
          </w:rPr>
          <w:t>2</w:t>
        </w:r>
        <w:r>
          <w:rPr>
            <w:noProof/>
            <w:webHidden/>
          </w:rPr>
          <w:fldChar w:fldCharType="end"/>
        </w:r>
      </w:hyperlink>
    </w:p>
    <w:p w:rsidR="00B10F30" w:rsidRDefault="00B10F30">
      <w:pPr>
        <w:pStyle w:val="TM2"/>
        <w:tabs>
          <w:tab w:val="right" w:leader="dot" w:pos="9062"/>
        </w:tabs>
        <w:rPr>
          <w:rFonts w:eastAsiaTheme="minorEastAsia"/>
          <w:noProof/>
          <w:lang w:eastAsia="fr-FR"/>
        </w:rPr>
      </w:pPr>
      <w:hyperlink w:anchor="_Toc216865640" w:history="1">
        <w:r w:rsidRPr="005127B5">
          <w:rPr>
            <w:rStyle w:val="Lienhypertexte"/>
            <w:noProof/>
          </w:rPr>
          <w:t>Bref panorama des dynamiques récentes</w:t>
        </w:r>
        <w:r>
          <w:rPr>
            <w:noProof/>
            <w:webHidden/>
          </w:rPr>
          <w:tab/>
        </w:r>
        <w:r>
          <w:rPr>
            <w:noProof/>
            <w:webHidden/>
          </w:rPr>
          <w:fldChar w:fldCharType="begin"/>
        </w:r>
        <w:r>
          <w:rPr>
            <w:noProof/>
            <w:webHidden/>
          </w:rPr>
          <w:instrText xml:space="preserve"> PAGEREF _Toc216865640 \h </w:instrText>
        </w:r>
        <w:r>
          <w:rPr>
            <w:noProof/>
            <w:webHidden/>
          </w:rPr>
        </w:r>
        <w:r>
          <w:rPr>
            <w:noProof/>
            <w:webHidden/>
          </w:rPr>
          <w:fldChar w:fldCharType="separate"/>
        </w:r>
        <w:r>
          <w:rPr>
            <w:noProof/>
            <w:webHidden/>
          </w:rPr>
          <w:t>2</w:t>
        </w:r>
        <w:r>
          <w:rPr>
            <w:noProof/>
            <w:webHidden/>
          </w:rPr>
          <w:fldChar w:fldCharType="end"/>
        </w:r>
      </w:hyperlink>
    </w:p>
    <w:p w:rsidR="00B10F30" w:rsidRDefault="00B10F30">
      <w:pPr>
        <w:pStyle w:val="TM2"/>
        <w:tabs>
          <w:tab w:val="right" w:leader="dot" w:pos="9062"/>
        </w:tabs>
        <w:rPr>
          <w:rFonts w:eastAsiaTheme="minorEastAsia"/>
          <w:noProof/>
          <w:lang w:eastAsia="fr-FR"/>
        </w:rPr>
      </w:pPr>
      <w:hyperlink w:anchor="_Toc216865641" w:history="1">
        <w:r w:rsidRPr="005127B5">
          <w:rPr>
            <w:rStyle w:val="Lienhypertexte"/>
            <w:noProof/>
          </w:rPr>
          <w:t>Focus : les liens sciences-société dans le champ de l’autonomie</w:t>
        </w:r>
        <w:r>
          <w:rPr>
            <w:noProof/>
            <w:webHidden/>
          </w:rPr>
          <w:tab/>
        </w:r>
        <w:r>
          <w:rPr>
            <w:noProof/>
            <w:webHidden/>
          </w:rPr>
          <w:fldChar w:fldCharType="begin"/>
        </w:r>
        <w:r>
          <w:rPr>
            <w:noProof/>
            <w:webHidden/>
          </w:rPr>
          <w:instrText xml:space="preserve"> PAGEREF _Toc216865641 \h </w:instrText>
        </w:r>
        <w:r>
          <w:rPr>
            <w:noProof/>
            <w:webHidden/>
          </w:rPr>
        </w:r>
        <w:r>
          <w:rPr>
            <w:noProof/>
            <w:webHidden/>
          </w:rPr>
          <w:fldChar w:fldCharType="separate"/>
        </w:r>
        <w:r>
          <w:rPr>
            <w:noProof/>
            <w:webHidden/>
          </w:rPr>
          <w:t>3</w:t>
        </w:r>
        <w:r>
          <w:rPr>
            <w:noProof/>
            <w:webHidden/>
          </w:rPr>
          <w:fldChar w:fldCharType="end"/>
        </w:r>
      </w:hyperlink>
    </w:p>
    <w:p w:rsidR="00B10F30" w:rsidRDefault="00B10F30">
      <w:pPr>
        <w:pStyle w:val="TM1"/>
        <w:tabs>
          <w:tab w:val="right" w:leader="dot" w:pos="9062"/>
        </w:tabs>
        <w:rPr>
          <w:rFonts w:eastAsiaTheme="minorEastAsia"/>
          <w:noProof/>
          <w:lang w:eastAsia="fr-FR"/>
        </w:rPr>
      </w:pPr>
      <w:hyperlink w:anchor="_Toc216865642" w:history="1">
        <w:r w:rsidRPr="005127B5">
          <w:rPr>
            <w:rStyle w:val="Lienhypertexte"/>
            <w:noProof/>
          </w:rPr>
          <w:t>Constats : des attentes fortes pour des liens renouvelés entre science et société</w:t>
        </w:r>
        <w:r>
          <w:rPr>
            <w:noProof/>
            <w:webHidden/>
          </w:rPr>
          <w:tab/>
        </w:r>
        <w:r>
          <w:rPr>
            <w:noProof/>
            <w:webHidden/>
          </w:rPr>
          <w:fldChar w:fldCharType="begin"/>
        </w:r>
        <w:r>
          <w:rPr>
            <w:noProof/>
            <w:webHidden/>
          </w:rPr>
          <w:instrText xml:space="preserve"> PAGEREF _Toc216865642 \h </w:instrText>
        </w:r>
        <w:r>
          <w:rPr>
            <w:noProof/>
            <w:webHidden/>
          </w:rPr>
        </w:r>
        <w:r>
          <w:rPr>
            <w:noProof/>
            <w:webHidden/>
          </w:rPr>
          <w:fldChar w:fldCharType="separate"/>
        </w:r>
        <w:r>
          <w:rPr>
            <w:noProof/>
            <w:webHidden/>
          </w:rPr>
          <w:t>3</w:t>
        </w:r>
        <w:r>
          <w:rPr>
            <w:noProof/>
            <w:webHidden/>
          </w:rPr>
          <w:fldChar w:fldCharType="end"/>
        </w:r>
      </w:hyperlink>
    </w:p>
    <w:p w:rsidR="00B10F30" w:rsidRDefault="00B10F30">
      <w:pPr>
        <w:pStyle w:val="TM2"/>
        <w:tabs>
          <w:tab w:val="right" w:leader="dot" w:pos="9062"/>
        </w:tabs>
        <w:rPr>
          <w:rFonts w:eastAsiaTheme="minorEastAsia"/>
          <w:noProof/>
          <w:lang w:eastAsia="fr-FR"/>
        </w:rPr>
      </w:pPr>
      <w:hyperlink w:anchor="_Toc216865643" w:history="1">
        <w:r w:rsidRPr="005127B5">
          <w:rPr>
            <w:rStyle w:val="Lienhypertexte"/>
            <w:noProof/>
          </w:rPr>
          <w:t>Constat 1 : un intérêt partagé à agir</w:t>
        </w:r>
        <w:r>
          <w:rPr>
            <w:noProof/>
            <w:webHidden/>
          </w:rPr>
          <w:tab/>
        </w:r>
        <w:r>
          <w:rPr>
            <w:noProof/>
            <w:webHidden/>
          </w:rPr>
          <w:fldChar w:fldCharType="begin"/>
        </w:r>
        <w:r>
          <w:rPr>
            <w:noProof/>
            <w:webHidden/>
          </w:rPr>
          <w:instrText xml:space="preserve"> PAGEREF _Toc216865643 \h </w:instrText>
        </w:r>
        <w:r>
          <w:rPr>
            <w:noProof/>
            <w:webHidden/>
          </w:rPr>
        </w:r>
        <w:r>
          <w:rPr>
            <w:noProof/>
            <w:webHidden/>
          </w:rPr>
          <w:fldChar w:fldCharType="separate"/>
        </w:r>
        <w:r>
          <w:rPr>
            <w:noProof/>
            <w:webHidden/>
          </w:rPr>
          <w:t>3</w:t>
        </w:r>
        <w:r>
          <w:rPr>
            <w:noProof/>
            <w:webHidden/>
          </w:rPr>
          <w:fldChar w:fldCharType="end"/>
        </w:r>
      </w:hyperlink>
    </w:p>
    <w:p w:rsidR="00B10F30" w:rsidRDefault="00B10F30">
      <w:pPr>
        <w:pStyle w:val="TM2"/>
        <w:tabs>
          <w:tab w:val="right" w:leader="dot" w:pos="9062"/>
        </w:tabs>
        <w:rPr>
          <w:rFonts w:eastAsiaTheme="minorEastAsia"/>
          <w:noProof/>
          <w:lang w:eastAsia="fr-FR"/>
        </w:rPr>
      </w:pPr>
      <w:hyperlink w:anchor="_Toc216865644" w:history="1">
        <w:r w:rsidRPr="005127B5">
          <w:rPr>
            <w:rStyle w:val="Lienhypertexte"/>
            <w:noProof/>
          </w:rPr>
          <w:t>Citations extraites des réponses à l’enquête en ligne</w:t>
        </w:r>
        <w:r>
          <w:rPr>
            <w:noProof/>
            <w:webHidden/>
          </w:rPr>
          <w:tab/>
        </w:r>
        <w:r>
          <w:rPr>
            <w:noProof/>
            <w:webHidden/>
          </w:rPr>
          <w:fldChar w:fldCharType="begin"/>
        </w:r>
        <w:r>
          <w:rPr>
            <w:noProof/>
            <w:webHidden/>
          </w:rPr>
          <w:instrText xml:space="preserve"> PAGEREF _Toc216865644 \h </w:instrText>
        </w:r>
        <w:r>
          <w:rPr>
            <w:noProof/>
            <w:webHidden/>
          </w:rPr>
        </w:r>
        <w:r>
          <w:rPr>
            <w:noProof/>
            <w:webHidden/>
          </w:rPr>
          <w:fldChar w:fldCharType="separate"/>
        </w:r>
        <w:r>
          <w:rPr>
            <w:noProof/>
            <w:webHidden/>
          </w:rPr>
          <w:t>3</w:t>
        </w:r>
        <w:r>
          <w:rPr>
            <w:noProof/>
            <w:webHidden/>
          </w:rPr>
          <w:fldChar w:fldCharType="end"/>
        </w:r>
      </w:hyperlink>
    </w:p>
    <w:p w:rsidR="00B10F30" w:rsidRDefault="00B10F30">
      <w:pPr>
        <w:pStyle w:val="TM2"/>
        <w:tabs>
          <w:tab w:val="right" w:leader="dot" w:pos="9062"/>
        </w:tabs>
        <w:rPr>
          <w:rFonts w:eastAsiaTheme="minorEastAsia"/>
          <w:noProof/>
          <w:lang w:eastAsia="fr-FR"/>
        </w:rPr>
      </w:pPr>
      <w:hyperlink w:anchor="_Toc216865645" w:history="1">
        <w:r w:rsidRPr="005127B5">
          <w:rPr>
            <w:rStyle w:val="Lienhypertexte"/>
            <w:noProof/>
          </w:rPr>
          <w:t>Constat 2 : la recherche perçue comme ressource, mais elle reste sous-mobilisée</w:t>
        </w:r>
        <w:r>
          <w:rPr>
            <w:noProof/>
            <w:webHidden/>
          </w:rPr>
          <w:tab/>
        </w:r>
        <w:r>
          <w:rPr>
            <w:noProof/>
            <w:webHidden/>
          </w:rPr>
          <w:fldChar w:fldCharType="begin"/>
        </w:r>
        <w:r>
          <w:rPr>
            <w:noProof/>
            <w:webHidden/>
          </w:rPr>
          <w:instrText xml:space="preserve"> PAGEREF _Toc216865645 \h </w:instrText>
        </w:r>
        <w:r>
          <w:rPr>
            <w:noProof/>
            <w:webHidden/>
          </w:rPr>
        </w:r>
        <w:r>
          <w:rPr>
            <w:noProof/>
            <w:webHidden/>
          </w:rPr>
          <w:fldChar w:fldCharType="separate"/>
        </w:r>
        <w:r>
          <w:rPr>
            <w:noProof/>
            <w:webHidden/>
          </w:rPr>
          <w:t>3</w:t>
        </w:r>
        <w:r>
          <w:rPr>
            <w:noProof/>
            <w:webHidden/>
          </w:rPr>
          <w:fldChar w:fldCharType="end"/>
        </w:r>
      </w:hyperlink>
    </w:p>
    <w:p w:rsidR="00B10F30" w:rsidRDefault="00B10F30">
      <w:pPr>
        <w:pStyle w:val="TM2"/>
        <w:tabs>
          <w:tab w:val="right" w:leader="dot" w:pos="9062"/>
        </w:tabs>
        <w:rPr>
          <w:rFonts w:eastAsiaTheme="minorEastAsia"/>
          <w:noProof/>
          <w:lang w:eastAsia="fr-FR"/>
        </w:rPr>
      </w:pPr>
      <w:hyperlink w:anchor="_Toc216865646" w:history="1">
        <w:r w:rsidRPr="005127B5">
          <w:rPr>
            <w:rStyle w:val="Lienhypertexte"/>
            <w:noProof/>
          </w:rPr>
          <w:t>Citations extraites des réponses à l’enquête en ligne</w:t>
        </w:r>
        <w:r>
          <w:rPr>
            <w:noProof/>
            <w:webHidden/>
          </w:rPr>
          <w:tab/>
        </w:r>
        <w:r>
          <w:rPr>
            <w:noProof/>
            <w:webHidden/>
          </w:rPr>
          <w:fldChar w:fldCharType="begin"/>
        </w:r>
        <w:r>
          <w:rPr>
            <w:noProof/>
            <w:webHidden/>
          </w:rPr>
          <w:instrText xml:space="preserve"> PAGEREF _Toc216865646 \h </w:instrText>
        </w:r>
        <w:r>
          <w:rPr>
            <w:noProof/>
            <w:webHidden/>
          </w:rPr>
        </w:r>
        <w:r>
          <w:rPr>
            <w:noProof/>
            <w:webHidden/>
          </w:rPr>
          <w:fldChar w:fldCharType="separate"/>
        </w:r>
        <w:r>
          <w:rPr>
            <w:noProof/>
            <w:webHidden/>
          </w:rPr>
          <w:t>5</w:t>
        </w:r>
        <w:r>
          <w:rPr>
            <w:noProof/>
            <w:webHidden/>
          </w:rPr>
          <w:fldChar w:fldCharType="end"/>
        </w:r>
      </w:hyperlink>
    </w:p>
    <w:p w:rsidR="00B10F30" w:rsidRDefault="00B10F30">
      <w:pPr>
        <w:pStyle w:val="TM2"/>
        <w:tabs>
          <w:tab w:val="right" w:leader="dot" w:pos="9062"/>
        </w:tabs>
        <w:rPr>
          <w:rFonts w:eastAsiaTheme="minorEastAsia"/>
          <w:noProof/>
          <w:lang w:eastAsia="fr-FR"/>
        </w:rPr>
      </w:pPr>
      <w:hyperlink w:anchor="_Toc216865647" w:history="1">
        <w:r w:rsidRPr="005127B5">
          <w:rPr>
            <w:rStyle w:val="Lienhypertexte"/>
            <w:noProof/>
          </w:rPr>
          <w:t>Constat 3 : de nombreux freins à l’utilisation des connaissances</w:t>
        </w:r>
        <w:r>
          <w:rPr>
            <w:noProof/>
            <w:webHidden/>
          </w:rPr>
          <w:tab/>
        </w:r>
        <w:r>
          <w:rPr>
            <w:noProof/>
            <w:webHidden/>
          </w:rPr>
          <w:fldChar w:fldCharType="begin"/>
        </w:r>
        <w:r>
          <w:rPr>
            <w:noProof/>
            <w:webHidden/>
          </w:rPr>
          <w:instrText xml:space="preserve"> PAGEREF _Toc216865647 \h </w:instrText>
        </w:r>
        <w:r>
          <w:rPr>
            <w:noProof/>
            <w:webHidden/>
          </w:rPr>
        </w:r>
        <w:r>
          <w:rPr>
            <w:noProof/>
            <w:webHidden/>
          </w:rPr>
          <w:fldChar w:fldCharType="separate"/>
        </w:r>
        <w:r>
          <w:rPr>
            <w:noProof/>
            <w:webHidden/>
          </w:rPr>
          <w:t>5</w:t>
        </w:r>
        <w:r>
          <w:rPr>
            <w:noProof/>
            <w:webHidden/>
          </w:rPr>
          <w:fldChar w:fldCharType="end"/>
        </w:r>
      </w:hyperlink>
    </w:p>
    <w:p w:rsidR="00B10F30" w:rsidRDefault="00B10F30">
      <w:pPr>
        <w:pStyle w:val="TM2"/>
        <w:tabs>
          <w:tab w:val="right" w:leader="dot" w:pos="9062"/>
        </w:tabs>
        <w:rPr>
          <w:rFonts w:eastAsiaTheme="minorEastAsia"/>
          <w:noProof/>
          <w:lang w:eastAsia="fr-FR"/>
        </w:rPr>
      </w:pPr>
      <w:hyperlink w:anchor="_Toc216865648" w:history="1">
        <w:r w:rsidRPr="005127B5">
          <w:rPr>
            <w:rStyle w:val="Lienhypertexte"/>
            <w:noProof/>
          </w:rPr>
          <w:t>Citations extraites des réponses à l’enquête en ligne</w:t>
        </w:r>
        <w:r>
          <w:rPr>
            <w:noProof/>
            <w:webHidden/>
          </w:rPr>
          <w:tab/>
        </w:r>
        <w:r>
          <w:rPr>
            <w:noProof/>
            <w:webHidden/>
          </w:rPr>
          <w:fldChar w:fldCharType="begin"/>
        </w:r>
        <w:r>
          <w:rPr>
            <w:noProof/>
            <w:webHidden/>
          </w:rPr>
          <w:instrText xml:space="preserve"> PAGEREF _Toc216865648 \h </w:instrText>
        </w:r>
        <w:r>
          <w:rPr>
            <w:noProof/>
            <w:webHidden/>
          </w:rPr>
        </w:r>
        <w:r>
          <w:rPr>
            <w:noProof/>
            <w:webHidden/>
          </w:rPr>
          <w:fldChar w:fldCharType="separate"/>
        </w:r>
        <w:r>
          <w:rPr>
            <w:noProof/>
            <w:webHidden/>
          </w:rPr>
          <w:t>5</w:t>
        </w:r>
        <w:r>
          <w:rPr>
            <w:noProof/>
            <w:webHidden/>
          </w:rPr>
          <w:fldChar w:fldCharType="end"/>
        </w:r>
      </w:hyperlink>
    </w:p>
    <w:p w:rsidR="00B10F30" w:rsidRDefault="00B10F30">
      <w:pPr>
        <w:pStyle w:val="TM2"/>
        <w:tabs>
          <w:tab w:val="right" w:leader="dot" w:pos="9062"/>
        </w:tabs>
        <w:rPr>
          <w:rFonts w:eastAsiaTheme="minorEastAsia"/>
          <w:noProof/>
          <w:lang w:eastAsia="fr-FR"/>
        </w:rPr>
      </w:pPr>
      <w:hyperlink w:anchor="_Toc216865649" w:history="1">
        <w:r w:rsidRPr="005127B5">
          <w:rPr>
            <w:rStyle w:val="Lienhypertexte"/>
            <w:noProof/>
          </w:rPr>
          <w:t>Constat 4 : une aspiration forte à une recherche plus inclusive</w:t>
        </w:r>
        <w:r>
          <w:rPr>
            <w:noProof/>
            <w:webHidden/>
          </w:rPr>
          <w:tab/>
        </w:r>
        <w:r>
          <w:rPr>
            <w:noProof/>
            <w:webHidden/>
          </w:rPr>
          <w:fldChar w:fldCharType="begin"/>
        </w:r>
        <w:r>
          <w:rPr>
            <w:noProof/>
            <w:webHidden/>
          </w:rPr>
          <w:instrText xml:space="preserve"> PAGEREF _Toc216865649 \h </w:instrText>
        </w:r>
        <w:r>
          <w:rPr>
            <w:noProof/>
            <w:webHidden/>
          </w:rPr>
        </w:r>
        <w:r>
          <w:rPr>
            <w:noProof/>
            <w:webHidden/>
          </w:rPr>
          <w:fldChar w:fldCharType="separate"/>
        </w:r>
        <w:r>
          <w:rPr>
            <w:noProof/>
            <w:webHidden/>
          </w:rPr>
          <w:t>6</w:t>
        </w:r>
        <w:r>
          <w:rPr>
            <w:noProof/>
            <w:webHidden/>
          </w:rPr>
          <w:fldChar w:fldCharType="end"/>
        </w:r>
      </w:hyperlink>
    </w:p>
    <w:p w:rsidR="00B10F30" w:rsidRDefault="00B10F30">
      <w:pPr>
        <w:pStyle w:val="TM2"/>
        <w:tabs>
          <w:tab w:val="right" w:leader="dot" w:pos="9062"/>
        </w:tabs>
        <w:rPr>
          <w:rFonts w:eastAsiaTheme="minorEastAsia"/>
          <w:noProof/>
          <w:lang w:eastAsia="fr-FR"/>
        </w:rPr>
      </w:pPr>
      <w:hyperlink w:anchor="_Toc216865650" w:history="1">
        <w:r w:rsidRPr="005127B5">
          <w:rPr>
            <w:rStyle w:val="Lienhypertexte"/>
            <w:noProof/>
          </w:rPr>
          <w:t>Citations extraites des réponses à l’enquête en ligne</w:t>
        </w:r>
        <w:r>
          <w:rPr>
            <w:noProof/>
            <w:webHidden/>
          </w:rPr>
          <w:tab/>
        </w:r>
        <w:r>
          <w:rPr>
            <w:noProof/>
            <w:webHidden/>
          </w:rPr>
          <w:fldChar w:fldCharType="begin"/>
        </w:r>
        <w:r>
          <w:rPr>
            <w:noProof/>
            <w:webHidden/>
          </w:rPr>
          <w:instrText xml:space="preserve"> PAGEREF _Toc216865650 \h </w:instrText>
        </w:r>
        <w:r>
          <w:rPr>
            <w:noProof/>
            <w:webHidden/>
          </w:rPr>
        </w:r>
        <w:r>
          <w:rPr>
            <w:noProof/>
            <w:webHidden/>
          </w:rPr>
          <w:fldChar w:fldCharType="separate"/>
        </w:r>
        <w:r>
          <w:rPr>
            <w:noProof/>
            <w:webHidden/>
          </w:rPr>
          <w:t>6</w:t>
        </w:r>
        <w:r>
          <w:rPr>
            <w:noProof/>
            <w:webHidden/>
          </w:rPr>
          <w:fldChar w:fldCharType="end"/>
        </w:r>
      </w:hyperlink>
    </w:p>
    <w:p w:rsidR="00B10F30" w:rsidRDefault="00B10F30">
      <w:pPr>
        <w:pStyle w:val="TM2"/>
        <w:tabs>
          <w:tab w:val="right" w:leader="dot" w:pos="9062"/>
        </w:tabs>
        <w:rPr>
          <w:rFonts w:eastAsiaTheme="minorEastAsia"/>
          <w:noProof/>
          <w:lang w:eastAsia="fr-FR"/>
        </w:rPr>
      </w:pPr>
      <w:hyperlink w:anchor="_Toc216865651" w:history="1">
        <w:r w:rsidRPr="005127B5">
          <w:rPr>
            <w:rStyle w:val="Lienhypertexte"/>
            <w:noProof/>
          </w:rPr>
          <w:t>Constat 5 : les difficultés de la mise en lien, préalable à la collaboration</w:t>
        </w:r>
        <w:r>
          <w:rPr>
            <w:noProof/>
            <w:webHidden/>
          </w:rPr>
          <w:tab/>
        </w:r>
        <w:r>
          <w:rPr>
            <w:noProof/>
            <w:webHidden/>
          </w:rPr>
          <w:fldChar w:fldCharType="begin"/>
        </w:r>
        <w:r>
          <w:rPr>
            <w:noProof/>
            <w:webHidden/>
          </w:rPr>
          <w:instrText xml:space="preserve"> PAGEREF _Toc216865651 \h </w:instrText>
        </w:r>
        <w:r>
          <w:rPr>
            <w:noProof/>
            <w:webHidden/>
          </w:rPr>
        </w:r>
        <w:r>
          <w:rPr>
            <w:noProof/>
            <w:webHidden/>
          </w:rPr>
          <w:fldChar w:fldCharType="separate"/>
        </w:r>
        <w:r>
          <w:rPr>
            <w:noProof/>
            <w:webHidden/>
          </w:rPr>
          <w:t>6</w:t>
        </w:r>
        <w:r>
          <w:rPr>
            <w:noProof/>
            <w:webHidden/>
          </w:rPr>
          <w:fldChar w:fldCharType="end"/>
        </w:r>
      </w:hyperlink>
    </w:p>
    <w:p w:rsidR="00B10F30" w:rsidRDefault="00B10F30">
      <w:pPr>
        <w:pStyle w:val="TM2"/>
        <w:tabs>
          <w:tab w:val="right" w:leader="dot" w:pos="9062"/>
        </w:tabs>
        <w:rPr>
          <w:rFonts w:eastAsiaTheme="minorEastAsia"/>
          <w:noProof/>
          <w:lang w:eastAsia="fr-FR"/>
        </w:rPr>
      </w:pPr>
      <w:hyperlink w:anchor="_Toc216865652" w:history="1">
        <w:r w:rsidRPr="005127B5">
          <w:rPr>
            <w:rStyle w:val="Lienhypertexte"/>
            <w:noProof/>
          </w:rPr>
          <w:t>Citation extraite des entretiens collectifs</w:t>
        </w:r>
        <w:r>
          <w:rPr>
            <w:noProof/>
            <w:webHidden/>
          </w:rPr>
          <w:tab/>
        </w:r>
        <w:r>
          <w:rPr>
            <w:noProof/>
            <w:webHidden/>
          </w:rPr>
          <w:fldChar w:fldCharType="begin"/>
        </w:r>
        <w:r>
          <w:rPr>
            <w:noProof/>
            <w:webHidden/>
          </w:rPr>
          <w:instrText xml:space="preserve"> PAGEREF _Toc216865652 \h </w:instrText>
        </w:r>
        <w:r>
          <w:rPr>
            <w:noProof/>
            <w:webHidden/>
          </w:rPr>
        </w:r>
        <w:r>
          <w:rPr>
            <w:noProof/>
            <w:webHidden/>
          </w:rPr>
          <w:fldChar w:fldCharType="separate"/>
        </w:r>
        <w:r>
          <w:rPr>
            <w:noProof/>
            <w:webHidden/>
          </w:rPr>
          <w:t>7</w:t>
        </w:r>
        <w:r>
          <w:rPr>
            <w:noProof/>
            <w:webHidden/>
          </w:rPr>
          <w:fldChar w:fldCharType="end"/>
        </w:r>
      </w:hyperlink>
    </w:p>
    <w:p w:rsidR="00B10F30" w:rsidRDefault="00B10F30">
      <w:pPr>
        <w:pStyle w:val="TM2"/>
        <w:tabs>
          <w:tab w:val="right" w:leader="dot" w:pos="9062"/>
        </w:tabs>
        <w:rPr>
          <w:rFonts w:eastAsiaTheme="minorEastAsia"/>
          <w:noProof/>
          <w:lang w:eastAsia="fr-FR"/>
        </w:rPr>
      </w:pPr>
      <w:hyperlink w:anchor="_Toc216865653" w:history="1">
        <w:r w:rsidRPr="005127B5">
          <w:rPr>
            <w:rStyle w:val="Lienhypertexte"/>
            <w:noProof/>
          </w:rPr>
          <w:t>Constat 6 : des acteurs du lien isolés, peu visibles et reconnus, en demande de soutien</w:t>
        </w:r>
        <w:r>
          <w:rPr>
            <w:noProof/>
            <w:webHidden/>
          </w:rPr>
          <w:tab/>
        </w:r>
        <w:r>
          <w:rPr>
            <w:noProof/>
            <w:webHidden/>
          </w:rPr>
          <w:fldChar w:fldCharType="begin"/>
        </w:r>
        <w:r>
          <w:rPr>
            <w:noProof/>
            <w:webHidden/>
          </w:rPr>
          <w:instrText xml:space="preserve"> PAGEREF _Toc216865653 \h </w:instrText>
        </w:r>
        <w:r>
          <w:rPr>
            <w:noProof/>
            <w:webHidden/>
          </w:rPr>
        </w:r>
        <w:r>
          <w:rPr>
            <w:noProof/>
            <w:webHidden/>
          </w:rPr>
          <w:fldChar w:fldCharType="separate"/>
        </w:r>
        <w:r>
          <w:rPr>
            <w:noProof/>
            <w:webHidden/>
          </w:rPr>
          <w:t>7</w:t>
        </w:r>
        <w:r>
          <w:rPr>
            <w:noProof/>
            <w:webHidden/>
          </w:rPr>
          <w:fldChar w:fldCharType="end"/>
        </w:r>
      </w:hyperlink>
    </w:p>
    <w:p w:rsidR="00B10F30" w:rsidRDefault="00B10F30">
      <w:pPr>
        <w:pStyle w:val="TM2"/>
        <w:tabs>
          <w:tab w:val="right" w:leader="dot" w:pos="9062"/>
        </w:tabs>
        <w:rPr>
          <w:rFonts w:eastAsiaTheme="minorEastAsia"/>
          <w:noProof/>
          <w:lang w:eastAsia="fr-FR"/>
        </w:rPr>
      </w:pPr>
      <w:hyperlink w:anchor="_Toc216865654" w:history="1">
        <w:r w:rsidRPr="005127B5">
          <w:rPr>
            <w:rStyle w:val="Lienhypertexte"/>
            <w:noProof/>
          </w:rPr>
          <w:t>Constat 7 : un dialogue avec la décision publique encore à construire</w:t>
        </w:r>
        <w:r>
          <w:rPr>
            <w:noProof/>
            <w:webHidden/>
          </w:rPr>
          <w:tab/>
        </w:r>
        <w:r>
          <w:rPr>
            <w:noProof/>
            <w:webHidden/>
          </w:rPr>
          <w:fldChar w:fldCharType="begin"/>
        </w:r>
        <w:r>
          <w:rPr>
            <w:noProof/>
            <w:webHidden/>
          </w:rPr>
          <w:instrText xml:space="preserve"> PAGEREF _Toc216865654 \h </w:instrText>
        </w:r>
        <w:r>
          <w:rPr>
            <w:noProof/>
            <w:webHidden/>
          </w:rPr>
        </w:r>
        <w:r>
          <w:rPr>
            <w:noProof/>
            <w:webHidden/>
          </w:rPr>
          <w:fldChar w:fldCharType="separate"/>
        </w:r>
        <w:r>
          <w:rPr>
            <w:noProof/>
            <w:webHidden/>
          </w:rPr>
          <w:t>7</w:t>
        </w:r>
        <w:r>
          <w:rPr>
            <w:noProof/>
            <w:webHidden/>
          </w:rPr>
          <w:fldChar w:fldCharType="end"/>
        </w:r>
      </w:hyperlink>
    </w:p>
    <w:p w:rsidR="00B10F30" w:rsidRDefault="00B10F30">
      <w:pPr>
        <w:pStyle w:val="TM2"/>
        <w:tabs>
          <w:tab w:val="right" w:leader="dot" w:pos="9062"/>
        </w:tabs>
        <w:rPr>
          <w:rFonts w:eastAsiaTheme="minorEastAsia"/>
          <w:noProof/>
          <w:lang w:eastAsia="fr-FR"/>
        </w:rPr>
      </w:pPr>
      <w:hyperlink w:anchor="_Toc216865655" w:history="1">
        <w:r w:rsidRPr="005127B5">
          <w:rPr>
            <w:rStyle w:val="Lienhypertexte"/>
            <w:noProof/>
          </w:rPr>
          <w:t>Citation extraite des réponses à l’enquête en ligne</w:t>
        </w:r>
        <w:r>
          <w:rPr>
            <w:noProof/>
            <w:webHidden/>
          </w:rPr>
          <w:tab/>
        </w:r>
        <w:r>
          <w:rPr>
            <w:noProof/>
            <w:webHidden/>
          </w:rPr>
          <w:fldChar w:fldCharType="begin"/>
        </w:r>
        <w:r>
          <w:rPr>
            <w:noProof/>
            <w:webHidden/>
          </w:rPr>
          <w:instrText xml:space="preserve"> PAGEREF _Toc216865655 \h </w:instrText>
        </w:r>
        <w:r>
          <w:rPr>
            <w:noProof/>
            <w:webHidden/>
          </w:rPr>
        </w:r>
        <w:r>
          <w:rPr>
            <w:noProof/>
            <w:webHidden/>
          </w:rPr>
          <w:fldChar w:fldCharType="separate"/>
        </w:r>
        <w:r>
          <w:rPr>
            <w:noProof/>
            <w:webHidden/>
          </w:rPr>
          <w:t>7</w:t>
        </w:r>
        <w:r>
          <w:rPr>
            <w:noProof/>
            <w:webHidden/>
          </w:rPr>
          <w:fldChar w:fldCharType="end"/>
        </w:r>
      </w:hyperlink>
    </w:p>
    <w:p w:rsidR="00B10F30" w:rsidRDefault="00B10F30">
      <w:pPr>
        <w:pStyle w:val="TM2"/>
        <w:tabs>
          <w:tab w:val="right" w:leader="dot" w:pos="9062"/>
        </w:tabs>
        <w:rPr>
          <w:rFonts w:eastAsiaTheme="minorEastAsia"/>
          <w:noProof/>
          <w:lang w:eastAsia="fr-FR"/>
        </w:rPr>
      </w:pPr>
      <w:hyperlink w:anchor="_Toc216865656" w:history="1">
        <w:r w:rsidRPr="005127B5">
          <w:rPr>
            <w:rStyle w:val="Lienhypertexte"/>
            <w:noProof/>
          </w:rPr>
          <w:t>En résumé</w:t>
        </w:r>
        <w:r>
          <w:rPr>
            <w:noProof/>
            <w:webHidden/>
          </w:rPr>
          <w:tab/>
        </w:r>
        <w:r>
          <w:rPr>
            <w:noProof/>
            <w:webHidden/>
          </w:rPr>
          <w:fldChar w:fldCharType="begin"/>
        </w:r>
        <w:r>
          <w:rPr>
            <w:noProof/>
            <w:webHidden/>
          </w:rPr>
          <w:instrText xml:space="preserve"> PAGEREF _Toc216865656 \h </w:instrText>
        </w:r>
        <w:r>
          <w:rPr>
            <w:noProof/>
            <w:webHidden/>
          </w:rPr>
        </w:r>
        <w:r>
          <w:rPr>
            <w:noProof/>
            <w:webHidden/>
          </w:rPr>
          <w:fldChar w:fldCharType="separate"/>
        </w:r>
        <w:r>
          <w:rPr>
            <w:noProof/>
            <w:webHidden/>
          </w:rPr>
          <w:t>8</w:t>
        </w:r>
        <w:r>
          <w:rPr>
            <w:noProof/>
            <w:webHidden/>
          </w:rPr>
          <w:fldChar w:fldCharType="end"/>
        </w:r>
      </w:hyperlink>
    </w:p>
    <w:p w:rsidR="00B10F30" w:rsidRDefault="00B10F30">
      <w:pPr>
        <w:pStyle w:val="TM1"/>
        <w:tabs>
          <w:tab w:val="right" w:leader="dot" w:pos="9062"/>
        </w:tabs>
        <w:rPr>
          <w:rFonts w:eastAsiaTheme="minorEastAsia"/>
          <w:noProof/>
          <w:lang w:eastAsia="fr-FR"/>
        </w:rPr>
      </w:pPr>
      <w:hyperlink w:anchor="_Toc216865657" w:history="1">
        <w:r w:rsidRPr="005127B5">
          <w:rPr>
            <w:rStyle w:val="Lienhypertexte"/>
            <w:noProof/>
          </w:rPr>
          <w:t>Notre proposition : l’agora de l’autonomie, une maison commune pour les liens science-société</w:t>
        </w:r>
        <w:r>
          <w:rPr>
            <w:noProof/>
            <w:webHidden/>
          </w:rPr>
          <w:tab/>
        </w:r>
        <w:r>
          <w:rPr>
            <w:noProof/>
            <w:webHidden/>
          </w:rPr>
          <w:fldChar w:fldCharType="begin"/>
        </w:r>
        <w:r>
          <w:rPr>
            <w:noProof/>
            <w:webHidden/>
          </w:rPr>
          <w:instrText xml:space="preserve"> PAGEREF _Toc216865657 \h </w:instrText>
        </w:r>
        <w:r>
          <w:rPr>
            <w:noProof/>
            <w:webHidden/>
          </w:rPr>
        </w:r>
        <w:r>
          <w:rPr>
            <w:noProof/>
            <w:webHidden/>
          </w:rPr>
          <w:fldChar w:fldCharType="separate"/>
        </w:r>
        <w:r>
          <w:rPr>
            <w:noProof/>
            <w:webHidden/>
          </w:rPr>
          <w:t>8</w:t>
        </w:r>
        <w:r>
          <w:rPr>
            <w:noProof/>
            <w:webHidden/>
          </w:rPr>
          <w:fldChar w:fldCharType="end"/>
        </w:r>
      </w:hyperlink>
    </w:p>
    <w:p w:rsidR="00B10F30" w:rsidRDefault="00B10F30">
      <w:pPr>
        <w:pStyle w:val="TM2"/>
        <w:tabs>
          <w:tab w:val="right" w:leader="dot" w:pos="9062"/>
        </w:tabs>
        <w:rPr>
          <w:rFonts w:eastAsiaTheme="minorEastAsia"/>
          <w:noProof/>
          <w:lang w:eastAsia="fr-FR"/>
        </w:rPr>
      </w:pPr>
      <w:hyperlink w:anchor="_Toc216865658" w:history="1">
        <w:r w:rsidRPr="005127B5">
          <w:rPr>
            <w:rStyle w:val="Lienhypertexte"/>
            <w:noProof/>
          </w:rPr>
          <w:t>Les lignes directrices du projet</w:t>
        </w:r>
        <w:r>
          <w:rPr>
            <w:noProof/>
            <w:webHidden/>
          </w:rPr>
          <w:tab/>
        </w:r>
        <w:r>
          <w:rPr>
            <w:noProof/>
            <w:webHidden/>
          </w:rPr>
          <w:fldChar w:fldCharType="begin"/>
        </w:r>
        <w:r>
          <w:rPr>
            <w:noProof/>
            <w:webHidden/>
          </w:rPr>
          <w:instrText xml:space="preserve"> PAGEREF _Toc216865658 \h </w:instrText>
        </w:r>
        <w:r>
          <w:rPr>
            <w:noProof/>
            <w:webHidden/>
          </w:rPr>
        </w:r>
        <w:r>
          <w:rPr>
            <w:noProof/>
            <w:webHidden/>
          </w:rPr>
          <w:fldChar w:fldCharType="separate"/>
        </w:r>
        <w:r>
          <w:rPr>
            <w:noProof/>
            <w:webHidden/>
          </w:rPr>
          <w:t>8</w:t>
        </w:r>
        <w:r>
          <w:rPr>
            <w:noProof/>
            <w:webHidden/>
          </w:rPr>
          <w:fldChar w:fldCharType="end"/>
        </w:r>
      </w:hyperlink>
    </w:p>
    <w:p w:rsidR="00B10F30" w:rsidRDefault="00B10F30">
      <w:pPr>
        <w:pStyle w:val="TM2"/>
        <w:tabs>
          <w:tab w:val="right" w:leader="dot" w:pos="9062"/>
        </w:tabs>
        <w:rPr>
          <w:rFonts w:eastAsiaTheme="minorEastAsia"/>
          <w:noProof/>
          <w:lang w:eastAsia="fr-FR"/>
        </w:rPr>
      </w:pPr>
      <w:hyperlink w:anchor="_Toc216865659" w:history="1">
        <w:r w:rsidRPr="005127B5">
          <w:rPr>
            <w:rStyle w:val="Lienhypertexte"/>
            <w:noProof/>
          </w:rPr>
          <w:t>Les contours du « dispositif socle »</w:t>
        </w:r>
        <w:r>
          <w:rPr>
            <w:noProof/>
            <w:webHidden/>
          </w:rPr>
          <w:tab/>
        </w:r>
        <w:r>
          <w:rPr>
            <w:noProof/>
            <w:webHidden/>
          </w:rPr>
          <w:fldChar w:fldCharType="begin"/>
        </w:r>
        <w:r>
          <w:rPr>
            <w:noProof/>
            <w:webHidden/>
          </w:rPr>
          <w:instrText xml:space="preserve"> PAGEREF _Toc216865659 \h </w:instrText>
        </w:r>
        <w:r>
          <w:rPr>
            <w:noProof/>
            <w:webHidden/>
          </w:rPr>
        </w:r>
        <w:r>
          <w:rPr>
            <w:noProof/>
            <w:webHidden/>
          </w:rPr>
          <w:fldChar w:fldCharType="separate"/>
        </w:r>
        <w:r>
          <w:rPr>
            <w:noProof/>
            <w:webHidden/>
          </w:rPr>
          <w:t>8</w:t>
        </w:r>
        <w:r>
          <w:rPr>
            <w:noProof/>
            <w:webHidden/>
          </w:rPr>
          <w:fldChar w:fldCharType="end"/>
        </w:r>
      </w:hyperlink>
    </w:p>
    <w:p w:rsidR="00B10F30" w:rsidRDefault="00B10F30">
      <w:pPr>
        <w:pStyle w:val="TM2"/>
        <w:tabs>
          <w:tab w:val="right" w:leader="dot" w:pos="9062"/>
        </w:tabs>
        <w:rPr>
          <w:rFonts w:eastAsiaTheme="minorEastAsia"/>
          <w:noProof/>
          <w:lang w:eastAsia="fr-FR"/>
        </w:rPr>
      </w:pPr>
      <w:hyperlink w:anchor="_Toc216865660" w:history="1">
        <w:r w:rsidRPr="005127B5">
          <w:rPr>
            <w:rStyle w:val="Lienhypertexte"/>
            <w:noProof/>
          </w:rPr>
          <w:t>A moyen terme, place à la coconstruction</w:t>
        </w:r>
        <w:r>
          <w:rPr>
            <w:noProof/>
            <w:webHidden/>
          </w:rPr>
          <w:tab/>
        </w:r>
        <w:r>
          <w:rPr>
            <w:noProof/>
            <w:webHidden/>
          </w:rPr>
          <w:fldChar w:fldCharType="begin"/>
        </w:r>
        <w:r>
          <w:rPr>
            <w:noProof/>
            <w:webHidden/>
          </w:rPr>
          <w:instrText xml:space="preserve"> PAGEREF _Toc216865660 \h </w:instrText>
        </w:r>
        <w:r>
          <w:rPr>
            <w:noProof/>
            <w:webHidden/>
          </w:rPr>
        </w:r>
        <w:r>
          <w:rPr>
            <w:noProof/>
            <w:webHidden/>
          </w:rPr>
          <w:fldChar w:fldCharType="separate"/>
        </w:r>
        <w:r>
          <w:rPr>
            <w:noProof/>
            <w:webHidden/>
          </w:rPr>
          <w:t>9</w:t>
        </w:r>
        <w:r>
          <w:rPr>
            <w:noProof/>
            <w:webHidden/>
          </w:rPr>
          <w:fldChar w:fldCharType="end"/>
        </w:r>
      </w:hyperlink>
    </w:p>
    <w:p w:rsidR="00B10F30" w:rsidRDefault="00B10F30">
      <w:pPr>
        <w:pStyle w:val="TM2"/>
        <w:tabs>
          <w:tab w:val="right" w:leader="dot" w:pos="9062"/>
        </w:tabs>
        <w:rPr>
          <w:rFonts w:eastAsiaTheme="minorEastAsia"/>
          <w:noProof/>
          <w:lang w:eastAsia="fr-FR"/>
        </w:rPr>
      </w:pPr>
      <w:hyperlink w:anchor="_Toc216865661" w:history="1">
        <w:r w:rsidRPr="005127B5">
          <w:rPr>
            <w:rStyle w:val="Lienhypertexte"/>
            <w:noProof/>
          </w:rPr>
          <w:t>Les clés de réussite</w:t>
        </w:r>
        <w:r>
          <w:rPr>
            <w:noProof/>
            <w:webHidden/>
          </w:rPr>
          <w:tab/>
        </w:r>
        <w:r>
          <w:rPr>
            <w:noProof/>
            <w:webHidden/>
          </w:rPr>
          <w:fldChar w:fldCharType="begin"/>
        </w:r>
        <w:r>
          <w:rPr>
            <w:noProof/>
            <w:webHidden/>
          </w:rPr>
          <w:instrText xml:space="preserve"> PAGEREF _Toc216865661 \h </w:instrText>
        </w:r>
        <w:r>
          <w:rPr>
            <w:noProof/>
            <w:webHidden/>
          </w:rPr>
        </w:r>
        <w:r>
          <w:rPr>
            <w:noProof/>
            <w:webHidden/>
          </w:rPr>
          <w:fldChar w:fldCharType="separate"/>
        </w:r>
        <w:r>
          <w:rPr>
            <w:noProof/>
            <w:webHidden/>
          </w:rPr>
          <w:t>9</w:t>
        </w:r>
        <w:r>
          <w:rPr>
            <w:noProof/>
            <w:webHidden/>
          </w:rPr>
          <w:fldChar w:fldCharType="end"/>
        </w:r>
      </w:hyperlink>
    </w:p>
    <w:p w:rsidR="00B10F30" w:rsidRDefault="00B10F30">
      <w:pPr>
        <w:pStyle w:val="TM1"/>
        <w:tabs>
          <w:tab w:val="right" w:leader="dot" w:pos="9062"/>
        </w:tabs>
        <w:rPr>
          <w:rFonts w:eastAsiaTheme="minorEastAsia"/>
          <w:noProof/>
          <w:lang w:eastAsia="fr-FR"/>
        </w:rPr>
      </w:pPr>
      <w:hyperlink w:anchor="_Toc216865662" w:history="1">
        <w:r w:rsidRPr="005127B5">
          <w:rPr>
            <w:rStyle w:val="Lienhypertexte"/>
            <w:noProof/>
          </w:rPr>
          <w:t>Conclusion</w:t>
        </w:r>
        <w:r>
          <w:rPr>
            <w:noProof/>
            <w:webHidden/>
          </w:rPr>
          <w:tab/>
        </w:r>
        <w:r>
          <w:rPr>
            <w:noProof/>
            <w:webHidden/>
          </w:rPr>
          <w:fldChar w:fldCharType="begin"/>
        </w:r>
        <w:r>
          <w:rPr>
            <w:noProof/>
            <w:webHidden/>
          </w:rPr>
          <w:instrText xml:space="preserve"> PAGEREF _Toc216865662 \h </w:instrText>
        </w:r>
        <w:r>
          <w:rPr>
            <w:noProof/>
            <w:webHidden/>
          </w:rPr>
        </w:r>
        <w:r>
          <w:rPr>
            <w:noProof/>
            <w:webHidden/>
          </w:rPr>
          <w:fldChar w:fldCharType="separate"/>
        </w:r>
        <w:r>
          <w:rPr>
            <w:noProof/>
            <w:webHidden/>
          </w:rPr>
          <w:t>9</w:t>
        </w:r>
        <w:r>
          <w:rPr>
            <w:noProof/>
            <w:webHidden/>
          </w:rPr>
          <w:fldChar w:fldCharType="end"/>
        </w:r>
      </w:hyperlink>
    </w:p>
    <w:p w:rsidR="00B10F30" w:rsidRDefault="00B10F30">
      <w:pPr>
        <w:pStyle w:val="TM1"/>
        <w:tabs>
          <w:tab w:val="right" w:leader="dot" w:pos="9062"/>
        </w:tabs>
        <w:rPr>
          <w:rFonts w:eastAsiaTheme="minorEastAsia"/>
          <w:noProof/>
          <w:lang w:eastAsia="fr-FR"/>
        </w:rPr>
      </w:pPr>
      <w:hyperlink w:anchor="_Toc216865663" w:history="1">
        <w:r w:rsidRPr="005127B5">
          <w:rPr>
            <w:rStyle w:val="Lienhypertexte"/>
            <w:noProof/>
          </w:rPr>
          <w:t>Pour aller plu</w:t>
        </w:r>
        <w:r w:rsidRPr="005127B5">
          <w:rPr>
            <w:rStyle w:val="Lienhypertexte"/>
            <w:noProof/>
            <w:highlight w:val="yellow"/>
          </w:rPr>
          <w:t>s</w:t>
        </w:r>
        <w:r w:rsidRPr="005127B5">
          <w:rPr>
            <w:rStyle w:val="Lienhypertexte"/>
            <w:noProof/>
          </w:rPr>
          <w:t xml:space="preserve"> loin</w:t>
        </w:r>
        <w:r>
          <w:rPr>
            <w:noProof/>
            <w:webHidden/>
          </w:rPr>
          <w:tab/>
        </w:r>
        <w:r>
          <w:rPr>
            <w:noProof/>
            <w:webHidden/>
          </w:rPr>
          <w:fldChar w:fldCharType="begin"/>
        </w:r>
        <w:r>
          <w:rPr>
            <w:noProof/>
            <w:webHidden/>
          </w:rPr>
          <w:instrText xml:space="preserve"> PAGEREF _Toc216865663 \h </w:instrText>
        </w:r>
        <w:r>
          <w:rPr>
            <w:noProof/>
            <w:webHidden/>
          </w:rPr>
        </w:r>
        <w:r>
          <w:rPr>
            <w:noProof/>
            <w:webHidden/>
          </w:rPr>
          <w:fldChar w:fldCharType="separate"/>
        </w:r>
        <w:r>
          <w:rPr>
            <w:noProof/>
            <w:webHidden/>
          </w:rPr>
          <w:t>10</w:t>
        </w:r>
        <w:r>
          <w:rPr>
            <w:noProof/>
            <w:webHidden/>
          </w:rPr>
          <w:fldChar w:fldCharType="end"/>
        </w:r>
      </w:hyperlink>
    </w:p>
    <w:p w:rsidR="000C0D74" w:rsidRDefault="00622567" w:rsidP="000C0D74">
      <w:pPr>
        <w:pStyle w:val="Titre1"/>
      </w:pPr>
      <w:r>
        <w:lastRenderedPageBreak/>
        <w:fldChar w:fldCharType="end"/>
      </w:r>
      <w:bookmarkStart w:id="1" w:name="_Toc216865636"/>
      <w:r w:rsidR="000C0D74">
        <w:t>A propos</w:t>
      </w:r>
      <w:bookmarkEnd w:id="1"/>
    </w:p>
    <w:p w:rsidR="000C0D74" w:rsidRDefault="000C0D74" w:rsidP="000C0D74">
      <w:r>
        <w:t>Par Virginia Lecach.</w:t>
      </w:r>
    </w:p>
    <w:p w:rsidR="000C0D74" w:rsidRDefault="000C0D74" w:rsidP="000C0D74">
      <w:pPr>
        <w:pStyle w:val="Titre2"/>
      </w:pPr>
      <w:bookmarkStart w:id="2" w:name="_Toc216865637"/>
      <w:r w:rsidRPr="000C0D74">
        <w:t>Le groupe de travail interinstitutionnel Fedrha-FIRAH-PPR Autonomie</w:t>
      </w:r>
      <w:bookmarkEnd w:id="2"/>
    </w:p>
    <w:p w:rsidR="000C0D74" w:rsidRPr="000C0D74" w:rsidRDefault="000C0D74" w:rsidP="000C0D74">
      <w:r w:rsidRPr="000C0D74">
        <w:t>Constat que les enjeux des liens science-société traversent nos missions respectives.</w:t>
      </w:r>
    </w:p>
    <w:p w:rsidR="000C0D74" w:rsidRPr="000C0D74" w:rsidRDefault="000C0D74" w:rsidP="000C0D74">
      <w:r w:rsidRPr="000C0D74">
        <w:t>Souhait de conduire une réflexion collective autour de ce que pourrait être une action mutualisée visant à soutenir les liens science-société.</w:t>
      </w:r>
    </w:p>
    <w:p w:rsidR="000C0D74" w:rsidRDefault="000C0D74" w:rsidP="000C0D74">
      <w:r w:rsidRPr="000C0D74">
        <w:t>Composition : Marion Erouart (Vision participative-Fedrha), Claudia Giudicelli-Marquet (PPR Autonomie-CNRS), Virginia Lecach (FIRAH), Caroline Pigeon (Vision participative-Fedrha), Jona Prifti (Fedrha), Cécile Vallée (FIRAH) et Marianne</w:t>
      </w:r>
      <w:r w:rsidR="00E415A6">
        <w:t xml:space="preserve"> Vigneulle (PPR Autonomie-CNRS</w:t>
      </w:r>
    </w:p>
    <w:p w:rsidR="000C0D74" w:rsidRDefault="00D7040A" w:rsidP="00D7040A">
      <w:pPr>
        <w:pStyle w:val="Titre2"/>
      </w:pPr>
      <w:bookmarkStart w:id="3" w:name="_Toc216865638"/>
      <w:r w:rsidRPr="00D7040A">
        <w:t>Donner la parole aux acteurs : l’ambition de notre méthodologie de travail</w:t>
      </w:r>
      <w:bookmarkEnd w:id="3"/>
    </w:p>
    <w:p w:rsidR="000C0D74" w:rsidRPr="000C0D74" w:rsidRDefault="00D7040A" w:rsidP="00D7040A">
      <w:pPr>
        <w:pStyle w:val="Titre3"/>
      </w:pPr>
      <w:r>
        <w:t>Enquête en ligne (j</w:t>
      </w:r>
      <w:r w:rsidRPr="00D7040A">
        <w:t>anvier à mars</w:t>
      </w:r>
      <w:r>
        <w:t>)</w:t>
      </w:r>
    </w:p>
    <w:p w:rsidR="00D7040A" w:rsidRPr="00D7040A" w:rsidRDefault="00D7040A" w:rsidP="00D7040A">
      <w:r w:rsidRPr="00D7040A">
        <w:t>Etat des lieux des liens science-société.</w:t>
      </w:r>
    </w:p>
    <w:p w:rsidR="00D7040A" w:rsidRPr="00D7040A" w:rsidRDefault="00D7040A" w:rsidP="00D7040A">
      <w:r w:rsidRPr="00D7040A">
        <w:t>Identifier les premiers leviers d’actions.</w:t>
      </w:r>
    </w:p>
    <w:p w:rsidR="00D7040A" w:rsidRPr="00D7040A" w:rsidRDefault="00D7040A" w:rsidP="00D7040A">
      <w:r w:rsidRPr="00D7040A">
        <w:t>318 répondants et répondantes.</w:t>
      </w:r>
    </w:p>
    <w:p w:rsidR="000C0D74" w:rsidRDefault="00D7040A" w:rsidP="00D7040A">
      <w:r w:rsidRPr="00D7040A">
        <w:t>Très nombreuses contributions en commentaires.</w:t>
      </w:r>
    </w:p>
    <w:p w:rsidR="00D7040A" w:rsidRDefault="00D7040A" w:rsidP="00D7040A">
      <w:pPr>
        <w:pStyle w:val="Titre3"/>
      </w:pPr>
      <w:r>
        <w:t>Entretiens collectifs (m</w:t>
      </w:r>
      <w:r w:rsidRPr="00D7040A">
        <w:t>ars et avril</w:t>
      </w:r>
      <w:r>
        <w:t>)</w:t>
      </w:r>
    </w:p>
    <w:p w:rsidR="00D7040A" w:rsidRPr="00D7040A" w:rsidRDefault="00D7040A" w:rsidP="00D7040A">
      <w:r w:rsidRPr="00D7040A">
        <w:t>Echanger autour des résultats de l’enquête en ligne.</w:t>
      </w:r>
    </w:p>
    <w:p w:rsidR="00D7040A" w:rsidRPr="00D7040A" w:rsidRDefault="00D7040A" w:rsidP="00D7040A">
      <w:r w:rsidRPr="00D7040A">
        <w:t>Préciser les besoins et explorer de premières pistes d’actions.</w:t>
      </w:r>
    </w:p>
    <w:p w:rsidR="00D7040A" w:rsidRDefault="00D7040A" w:rsidP="00D7040A">
      <w:r w:rsidRPr="00D7040A">
        <w:t>4 entretiens collectifs réunissant près de 50 personnes.</w:t>
      </w:r>
    </w:p>
    <w:p w:rsidR="00D7040A" w:rsidRDefault="00D7040A" w:rsidP="00D7040A">
      <w:pPr>
        <w:pStyle w:val="Titre3"/>
      </w:pPr>
      <w:r>
        <w:t>Entretiens individuels (j</w:t>
      </w:r>
      <w:r w:rsidRPr="00D7040A">
        <w:t>anvier à mai</w:t>
      </w:r>
      <w:r>
        <w:t>)</w:t>
      </w:r>
    </w:p>
    <w:p w:rsidR="00D7040A" w:rsidRPr="00D7040A" w:rsidRDefault="00D7040A" w:rsidP="00D7040A">
      <w:r w:rsidRPr="00D7040A">
        <w:t>Approfondir la compréhension du contexte et de l’existant, des freins et des leviers au développement d’une telle initiative.</w:t>
      </w:r>
    </w:p>
    <w:p w:rsidR="00D7040A" w:rsidRPr="00D7040A" w:rsidRDefault="00D7040A" w:rsidP="00D7040A">
      <w:r w:rsidRPr="00D7040A">
        <w:t>Auprès d’acteurs ressources identifiés pour leur expertise.</w:t>
      </w:r>
    </w:p>
    <w:p w:rsidR="00D7040A" w:rsidRDefault="00D7040A" w:rsidP="00D7040A">
      <w:r w:rsidRPr="00D7040A">
        <w:t>Auprès d’acteurs clés susceptibles de jouer un rôle majeur dans le dispositif.</w:t>
      </w:r>
    </w:p>
    <w:p w:rsidR="00D7040A" w:rsidRDefault="00D7040A" w:rsidP="00D7040A">
      <w:pPr>
        <w:pStyle w:val="Titre1"/>
      </w:pPr>
      <w:bookmarkStart w:id="4" w:name="_Toc216865639"/>
      <w:r w:rsidRPr="00D7040A">
        <w:t>Contexte et dynamiques des liens science-société</w:t>
      </w:r>
      <w:bookmarkEnd w:id="4"/>
    </w:p>
    <w:p w:rsidR="00D7040A" w:rsidRDefault="00D7040A" w:rsidP="00D7040A">
      <w:r>
        <w:t xml:space="preserve">Par </w:t>
      </w:r>
      <w:r w:rsidRPr="00D7040A">
        <w:t>Marianne Vigneulle</w:t>
      </w:r>
      <w:r>
        <w:t>.</w:t>
      </w:r>
    </w:p>
    <w:p w:rsidR="00D7040A" w:rsidRDefault="00D7040A" w:rsidP="00D7040A">
      <w:pPr>
        <w:pStyle w:val="Titre2"/>
      </w:pPr>
      <w:bookmarkStart w:id="5" w:name="_Toc216865640"/>
      <w:r w:rsidRPr="00D7040A">
        <w:t>Bref panorama des dynamiques récentes</w:t>
      </w:r>
      <w:bookmarkEnd w:id="5"/>
    </w:p>
    <w:p w:rsidR="00D7040A" w:rsidRDefault="00D7040A" w:rsidP="00D7040A">
      <w:r w:rsidRPr="00D7040A">
        <w:t>Les politiques CSTI reposent sur une politique de vulgarisation : la recherche comme pourvoyeur de connaissances, la société reçoit la connaissance.</w:t>
      </w:r>
    </w:p>
    <w:p w:rsidR="00D7040A" w:rsidRDefault="00D7040A" w:rsidP="00D7040A">
      <w:r w:rsidRPr="00D7040A">
        <w:t>Des crises successives ébranlent la confiance dans les institutions scientifiques et politiques, ce qui nourrit des demandes de transparence et d’inclusion.</w:t>
      </w:r>
    </w:p>
    <w:p w:rsidR="00D7040A" w:rsidRDefault="00D7040A" w:rsidP="00D7040A">
      <w:r w:rsidRPr="00D7040A">
        <w:t>Tentatives de réinventer les liens science-société sur des bases plus démocratiques dans le cadre d’initiatives encore trop peu reconnues et soutenues.</w:t>
      </w:r>
    </w:p>
    <w:p w:rsidR="00D7040A" w:rsidRDefault="00D7040A" w:rsidP="00D7040A">
      <w:pPr>
        <w:pStyle w:val="Titre2"/>
      </w:pPr>
      <w:bookmarkStart w:id="6" w:name="_Toc216865641"/>
      <w:r w:rsidRPr="00D7040A">
        <w:lastRenderedPageBreak/>
        <w:t>Focus : les liens sciences-société dans le champ de l’autonomie</w:t>
      </w:r>
      <w:bookmarkEnd w:id="6"/>
    </w:p>
    <w:p w:rsidR="00D7040A" w:rsidRDefault="00D7040A" w:rsidP="00D7040A">
      <w:r w:rsidRPr="00D7040A">
        <w:t>Le renforcement des politiques publiques de l’autonomie s’accompagne de la mise en place par l’Etat d’organisations visant à produire une expertise dans un objectif d’aide à la décision publique.</w:t>
      </w:r>
    </w:p>
    <w:p w:rsidR="00D7040A" w:rsidRDefault="00D7040A" w:rsidP="00D7040A">
      <w:r w:rsidRPr="00D7040A">
        <w:t>Des acteurs de terrain se sont engagés dans des actions visant à financer la recherche, ou à développer un dialogue avec ses acteurs, avec l’objectif général de soutenir une activité de plaidoyer.</w:t>
      </w:r>
    </w:p>
    <w:p w:rsidR="00D7040A" w:rsidRDefault="00D7040A" w:rsidP="00D7040A">
      <w:r w:rsidRPr="00D7040A">
        <w:t>Des programmes de financement de la recherche font plus de place aux démarches de recherche participative, et insistent sur l’enjeu du dialogue science-société.</w:t>
      </w:r>
    </w:p>
    <w:p w:rsidR="00D7040A" w:rsidRDefault="00D7040A" w:rsidP="00D7040A">
      <w:r w:rsidRPr="00D7040A">
        <w:t>Des communautés de recherche sont mises en place en réponse à la dispersion administrative et géographique des chercheuses et chercheurs, avec parmi leurs objectifs celui de faciliter le dialogue avec les acteurs de terrain et les pouvoirs publics.</w:t>
      </w:r>
    </w:p>
    <w:p w:rsidR="00D7040A" w:rsidRDefault="00D7040A" w:rsidP="00D7040A">
      <w:r w:rsidRPr="00D7040A">
        <w:t>Les initiatives (y compris individuelles) sont nombreuses mais dispersées et souvent éphémères. Le paysage des acteurs participant du dialogue science-société est en permanente recomposition.</w:t>
      </w:r>
    </w:p>
    <w:p w:rsidR="00D7040A" w:rsidRDefault="00D7040A" w:rsidP="00D7040A">
      <w:r w:rsidRPr="00D7040A">
        <w:t>Dispersion, voire disparition des compétences, des expertises, ainsi que des moyens financiers alloués ; c’est également la mémoire de ces initiatives qui se perd.</w:t>
      </w:r>
    </w:p>
    <w:p w:rsidR="00D7040A" w:rsidRDefault="00D7040A" w:rsidP="00D7040A">
      <w:pPr>
        <w:pStyle w:val="Titre1"/>
      </w:pPr>
      <w:bookmarkStart w:id="7" w:name="_Toc216865642"/>
      <w:r w:rsidRPr="00D7040A">
        <w:t>Constats : des attentes fortes pour des liens renouvelés entre science et société</w:t>
      </w:r>
      <w:bookmarkEnd w:id="7"/>
    </w:p>
    <w:p w:rsidR="00D7040A" w:rsidRDefault="00D7040A" w:rsidP="00D7040A">
      <w:r>
        <w:t xml:space="preserve">Par </w:t>
      </w:r>
      <w:r w:rsidRPr="00D7040A">
        <w:t>Cécile Vallée, Caroline Pigeon et Virginia Lecach</w:t>
      </w:r>
      <w:r>
        <w:t>.</w:t>
      </w:r>
    </w:p>
    <w:p w:rsidR="00D7040A" w:rsidRDefault="00CB68BE" w:rsidP="00CB68BE">
      <w:pPr>
        <w:pStyle w:val="Titre2"/>
      </w:pPr>
      <w:bookmarkStart w:id="8" w:name="_Toc216865643"/>
      <w:r w:rsidRPr="00CB68BE">
        <w:t>Constat 1 : un intérêt partagé à agir</w:t>
      </w:r>
      <w:bookmarkEnd w:id="8"/>
    </w:p>
    <w:p w:rsidR="00D7040A" w:rsidRDefault="00CB68BE" w:rsidP="00D7040A">
      <w:r>
        <w:t xml:space="preserve">72% </w:t>
      </w:r>
      <w:r w:rsidRPr="00CB68BE">
        <w:t>des chercheuses et chercheurs souhaitent collaborer davantage avec des acteurs de la société.</w:t>
      </w:r>
    </w:p>
    <w:p w:rsidR="00D7040A" w:rsidRDefault="00CB68BE" w:rsidP="00D7040A">
      <w:r>
        <w:t xml:space="preserve">83% </w:t>
      </w:r>
      <w:r w:rsidRPr="00CB68BE">
        <w:t>des répondants indiquent manquer d’outils et d’espaces pour faciliter ces échanges.</w:t>
      </w:r>
    </w:p>
    <w:p w:rsidR="00D7040A" w:rsidRDefault="00CB68BE" w:rsidP="00CB68BE">
      <w:pPr>
        <w:pStyle w:val="Titre2"/>
      </w:pPr>
      <w:bookmarkStart w:id="9" w:name="_Toc216865644"/>
      <w:r w:rsidRPr="00CB68BE">
        <w:t>Citations extraites des réponses à l’enquête en ligne</w:t>
      </w:r>
      <w:bookmarkEnd w:id="9"/>
    </w:p>
    <w:p w:rsidR="00CB68BE" w:rsidRPr="00CB68BE" w:rsidRDefault="00CB68BE" w:rsidP="00CB68BE">
      <w:r w:rsidRPr="00CB68BE">
        <w:t>« Hâte de connaître la suite ! »</w:t>
      </w:r>
    </w:p>
    <w:p w:rsidR="00CB68BE" w:rsidRPr="00CB68BE" w:rsidRDefault="00CB68BE" w:rsidP="00CB68BE">
      <w:r w:rsidRPr="00CB68BE">
        <w:t>« Merci pour cette consultation, cela va toujours mieux en le disant. »</w:t>
      </w:r>
    </w:p>
    <w:p w:rsidR="00CB68BE" w:rsidRPr="00CB68BE" w:rsidRDefault="00CB68BE" w:rsidP="00CB68BE">
      <w:r w:rsidRPr="00CB68BE">
        <w:t>« Belle initiative et fructueuse action. »</w:t>
      </w:r>
    </w:p>
    <w:p w:rsidR="00CB68BE" w:rsidRPr="00CB68BE" w:rsidRDefault="00CB68BE" w:rsidP="00CB68BE">
      <w:r w:rsidRPr="00CB68BE">
        <w:t>« Ancienne professionnelle dans le champ du handicap puis du vieillissement des personnes handicapées, cette enquête avive ma curiosité. »</w:t>
      </w:r>
    </w:p>
    <w:p w:rsidR="00D7040A" w:rsidRDefault="00CB68BE" w:rsidP="00CB68BE">
      <w:r w:rsidRPr="00CB68BE">
        <w:t>« J’espère que nos messages seront entendus ! »</w:t>
      </w:r>
    </w:p>
    <w:p w:rsidR="00D7040A" w:rsidRDefault="00CB68BE" w:rsidP="00CB68BE">
      <w:pPr>
        <w:pStyle w:val="Titre2"/>
      </w:pPr>
      <w:bookmarkStart w:id="10" w:name="_Toc216865645"/>
      <w:r w:rsidRPr="00CB68BE">
        <w:t>Constat 2 : la recherche perçue comme ressource, mais elle reste sous-mobilisée</w:t>
      </w:r>
      <w:bookmarkEnd w:id="10"/>
    </w:p>
    <w:p w:rsidR="00D7040A" w:rsidRDefault="00CB68BE" w:rsidP="00D7040A">
      <w:r w:rsidRPr="00CB68BE">
        <w:t>Confiance, utilité et fiabilité</w:t>
      </w:r>
      <w:r>
        <w:t> :</w:t>
      </w:r>
    </w:p>
    <w:p w:rsidR="00CB68BE" w:rsidRPr="00CB68BE" w:rsidRDefault="00CB68BE" w:rsidP="00CB68BE">
      <w:pPr>
        <w:pStyle w:val="Paragraphedeliste"/>
        <w:numPr>
          <w:ilvl w:val="0"/>
          <w:numId w:val="1"/>
        </w:numPr>
      </w:pPr>
      <w:r w:rsidRPr="00CB68BE">
        <w:t>La science est un bien commun pour 89% des répondants.</w:t>
      </w:r>
    </w:p>
    <w:p w:rsidR="00CB68BE" w:rsidRPr="00CB68BE" w:rsidRDefault="00CB68BE" w:rsidP="00CB68BE">
      <w:pPr>
        <w:pStyle w:val="Paragraphedeliste"/>
        <w:numPr>
          <w:ilvl w:val="0"/>
          <w:numId w:val="1"/>
        </w:numPr>
      </w:pPr>
      <w:r w:rsidRPr="00CB68BE">
        <w:t>87% jugent ses apports essentiels aux politiques publiques.</w:t>
      </w:r>
    </w:p>
    <w:p w:rsidR="00CB68BE" w:rsidRDefault="00CB68BE" w:rsidP="00CB68BE">
      <w:pPr>
        <w:pStyle w:val="Paragraphedeliste"/>
        <w:numPr>
          <w:ilvl w:val="0"/>
          <w:numId w:val="1"/>
        </w:numPr>
      </w:pPr>
      <w:r w:rsidRPr="00CB68BE">
        <w:t>La recherche est majoritairement perçue comme fiable, malgré quelques critiques et réserves (manque de proximité et de représentativité).</w:t>
      </w:r>
    </w:p>
    <w:p w:rsidR="00622567" w:rsidRDefault="00622567">
      <w:r>
        <w:br w:type="page"/>
      </w:r>
    </w:p>
    <w:p w:rsidR="00CB68BE" w:rsidRDefault="00CB68BE" w:rsidP="00CB68BE">
      <w:r w:rsidRPr="00CB68BE">
        <w:lastRenderedPageBreak/>
        <w:t>Accès, diffusion, mise en pratique</w:t>
      </w:r>
      <w:r>
        <w:t xml:space="preserve"> : </w:t>
      </w:r>
    </w:p>
    <w:p w:rsidR="00CB68BE" w:rsidRPr="00CB68BE" w:rsidRDefault="00CB68BE" w:rsidP="00CB68BE">
      <w:pPr>
        <w:pStyle w:val="Paragraphedeliste"/>
        <w:numPr>
          <w:ilvl w:val="0"/>
          <w:numId w:val="1"/>
        </w:numPr>
      </w:pPr>
      <w:r w:rsidRPr="00CB68BE">
        <w:t>Le dialogue entre science et société est jugé insuffisant pour que la science puisse effectivement constituer une ressource.</w:t>
      </w:r>
    </w:p>
    <w:p w:rsidR="00CB68BE" w:rsidRPr="00CB68BE" w:rsidRDefault="00CB68BE" w:rsidP="00CB68BE">
      <w:pPr>
        <w:pStyle w:val="Paragraphedeliste"/>
        <w:numPr>
          <w:ilvl w:val="0"/>
          <w:numId w:val="1"/>
        </w:numPr>
      </w:pPr>
      <w:r w:rsidRPr="00CB68BE">
        <w:t>L'usage de la recherche est encore marginal chez les acteurs de terrain.</w:t>
      </w:r>
    </w:p>
    <w:p w:rsidR="00CB68BE" w:rsidRDefault="00CB68BE" w:rsidP="00CB68BE">
      <w:pPr>
        <w:pStyle w:val="Paragraphedeliste"/>
        <w:numPr>
          <w:ilvl w:val="0"/>
          <w:numId w:val="1"/>
        </w:numPr>
      </w:pPr>
      <w:r w:rsidRPr="00CB68BE">
        <w:t>65% des chercheurs déclarent partager leurs résultats avec la société, mais seulement 38% estiment qu’ils sont effectivement utilisés.</w:t>
      </w:r>
    </w:p>
    <w:p w:rsidR="00CB68BE" w:rsidRDefault="00CB68BE" w:rsidP="00CB68BE">
      <w:pPr>
        <w:pStyle w:val="Titre2"/>
      </w:pPr>
      <w:bookmarkStart w:id="11" w:name="_Toc216865646"/>
      <w:r w:rsidRPr="00CB68BE">
        <w:t>Citations extraites des réponses à l’enquête en ligne</w:t>
      </w:r>
      <w:bookmarkEnd w:id="11"/>
    </w:p>
    <w:p w:rsidR="00CB68BE" w:rsidRPr="00CB68BE" w:rsidRDefault="00CB68BE" w:rsidP="00CB68BE">
      <w:r w:rsidRPr="00CB68BE">
        <w:t>« J’ai envie de mieux comprendre ce qui se passe pour mon fils handicapé. »</w:t>
      </w:r>
    </w:p>
    <w:p w:rsidR="00CB68BE" w:rsidRPr="00CB68BE" w:rsidRDefault="00CB68BE" w:rsidP="00CB68BE">
      <w:r w:rsidRPr="00CB68BE">
        <w:t>« Je suis inquiète des évolutions de la société qui remettent en question la science, son utilité et ses apports, au bénéfice de fausses informations, de stéréotypes et de mécanismes communautaires. »</w:t>
      </w:r>
    </w:p>
    <w:p w:rsidR="00CB68BE" w:rsidRPr="00CB68BE" w:rsidRDefault="00CB68BE" w:rsidP="00CB68BE">
      <w:r w:rsidRPr="00CB68BE">
        <w:t>« Je travaille dans un Ehpad et j'ai régulièrement le sentiment qu'il me manque des éléments scientifiques afin d'appuyer certaines réflexions ou remettre en question des pratiques. »</w:t>
      </w:r>
    </w:p>
    <w:p w:rsidR="00CB68BE" w:rsidRPr="00CB68BE" w:rsidRDefault="00CB68BE" w:rsidP="00CB68BE">
      <w:r w:rsidRPr="00CB68BE">
        <w:t>« Il faudrait réellement s'intéresser à qui reçoit les résultats de recherche. Trop souvent les résultats ne servent à rien : pas diffusés, pas intéressants, pas pratiques, pas adaptés, etc. il faut renouveler les médias et la façon de partager les connaissances Il est grand temps d'essayer de répondre collectivement à cet enjeu. »</w:t>
      </w:r>
    </w:p>
    <w:p w:rsidR="00CB68BE" w:rsidRPr="00CB68BE" w:rsidRDefault="00CB68BE" w:rsidP="00CB68BE">
      <w:pPr>
        <w:pStyle w:val="Titre2"/>
      </w:pPr>
      <w:bookmarkStart w:id="12" w:name="_Toc216865647"/>
      <w:r w:rsidRPr="00CB68BE">
        <w:t>Constat 3 : de nombreux freins à l’utilisation des connaissances</w:t>
      </w:r>
      <w:bookmarkEnd w:id="12"/>
    </w:p>
    <w:p w:rsidR="00CB68BE" w:rsidRPr="00CB68BE" w:rsidRDefault="00CB68BE" w:rsidP="00CB68BE">
      <w:r w:rsidRPr="00CB68BE">
        <w:t>Où chercher ? Comment identifier le contenu adapté ?</w:t>
      </w:r>
    </w:p>
    <w:p w:rsidR="00CB68BE" w:rsidRDefault="00CB68BE" w:rsidP="00D7040A">
      <w:r w:rsidRPr="00CB68BE">
        <w:t>Accéder au contenu sans barrière tarifaire.</w:t>
      </w:r>
    </w:p>
    <w:p w:rsidR="00CB68BE" w:rsidRDefault="00CB68BE" w:rsidP="00D7040A">
      <w:r w:rsidRPr="00CB68BE">
        <w:t>Le contenu en libre accès reste peu lisible pour un public qui ne maîtrise pas les codes.</w:t>
      </w:r>
    </w:p>
    <w:p w:rsidR="00CB68BE" w:rsidRDefault="00CB68BE" w:rsidP="00D7040A">
      <w:r w:rsidRPr="00CB68BE">
        <w:t>Décalage entre les thèmes abordés et les besoins sur le terrain.</w:t>
      </w:r>
    </w:p>
    <w:p w:rsidR="00CB68BE" w:rsidRDefault="00CB68BE" w:rsidP="00D7040A">
      <w:r w:rsidRPr="00CB68BE">
        <w:t>Manque de temps pour chercher et s’approprier un contenu.</w:t>
      </w:r>
    </w:p>
    <w:p w:rsidR="00CB68BE" w:rsidRDefault="00CB68BE" w:rsidP="00D7040A">
      <w:r w:rsidRPr="00CB68BE">
        <w:t>Absence d’une offre de formats de médiation scientifique pensée avec et pour les publics.</w:t>
      </w:r>
    </w:p>
    <w:p w:rsidR="00CB68BE" w:rsidRDefault="00CB68BE" w:rsidP="00CB68BE">
      <w:pPr>
        <w:pStyle w:val="Titre2"/>
      </w:pPr>
      <w:bookmarkStart w:id="13" w:name="_Toc216865648"/>
      <w:r w:rsidRPr="00CB68BE">
        <w:t>Citations extraites des réponses à l’enquête en ligne</w:t>
      </w:r>
      <w:bookmarkEnd w:id="13"/>
    </w:p>
    <w:p w:rsidR="001B549A" w:rsidRPr="001B549A" w:rsidRDefault="001B549A" w:rsidP="001B549A">
      <w:r w:rsidRPr="001B549A">
        <w:t>« Un point me semble important, c'est celui de la disponibilité des contenus produits par la recherche, beaucoup d'éléments ne sont pas en accès libre. »</w:t>
      </w:r>
    </w:p>
    <w:p w:rsidR="001B549A" w:rsidRPr="001B549A" w:rsidRDefault="001B549A" w:rsidP="001B549A">
      <w:r w:rsidRPr="001B549A">
        <w:t>« Les éléments scientifiques ne sont pas toujours accessibles au commun des mortels. »</w:t>
      </w:r>
    </w:p>
    <w:p w:rsidR="001B549A" w:rsidRPr="001B549A" w:rsidRDefault="001B549A" w:rsidP="001B549A">
      <w:r w:rsidRPr="001B549A">
        <w:t xml:space="preserve"> « Il serait intéressant de penser des formats de revue intermédiaire qui soient reconnus pour la qualité scientifique des articles ET pour leur lisibilité, accessibilité (dans tous les sens du terme). »</w:t>
      </w:r>
    </w:p>
    <w:p w:rsidR="001B549A" w:rsidRPr="001B549A" w:rsidRDefault="001B549A" w:rsidP="001B549A">
      <w:r w:rsidRPr="001B549A">
        <w:t>« Le langage de transmission des connaissances scientifiques est souvent très éloigné des possibilités de compréhension de ceux qui ne sont pas scientifiques. »</w:t>
      </w:r>
    </w:p>
    <w:p w:rsidR="001B549A" w:rsidRPr="001B549A" w:rsidRDefault="001B549A" w:rsidP="001B549A">
      <w:r w:rsidRPr="001B549A">
        <w:t>« Les chercheurs sont évalués (ou pensent être évalués) sur la base de leurs publications (articles scientifiques). Ils ne sont pas sensibilisés à la médiation scientifique et rien de les incite à le faire. »</w:t>
      </w:r>
    </w:p>
    <w:p w:rsidR="00CB68BE" w:rsidRDefault="001B549A" w:rsidP="001B549A">
      <w:pPr>
        <w:pStyle w:val="Titre2"/>
      </w:pPr>
      <w:bookmarkStart w:id="14" w:name="_Toc216865649"/>
      <w:r w:rsidRPr="001B549A">
        <w:lastRenderedPageBreak/>
        <w:t>Constat 4 : une aspiration forte à une recherche plus inclusive</w:t>
      </w:r>
      <w:bookmarkEnd w:id="14"/>
    </w:p>
    <w:p w:rsidR="00CB68BE" w:rsidRDefault="001B549A" w:rsidP="001B549A">
      <w:pPr>
        <w:pStyle w:val="Titre3"/>
      </w:pPr>
      <w:r w:rsidRPr="001B549A">
        <w:t>Au niveau de la gouvernance des politiques scientifiques</w:t>
      </w:r>
    </w:p>
    <w:p w:rsidR="001B549A" w:rsidRPr="001B549A" w:rsidRDefault="001B549A" w:rsidP="001B549A">
      <w:r w:rsidRPr="001B549A">
        <w:t>Visibiliser des sujets et des publics marginalisés.</w:t>
      </w:r>
    </w:p>
    <w:p w:rsidR="001B549A" w:rsidRPr="001B549A" w:rsidRDefault="001B549A" w:rsidP="001B549A">
      <w:r w:rsidRPr="001B549A">
        <w:t>Les espaces pour organiser la remontée des préoccupations sont rares, et surtout peu – voire pas du tout – identifiés.</w:t>
      </w:r>
    </w:p>
    <w:p w:rsidR="00CB68BE" w:rsidRDefault="001B549A" w:rsidP="001B549A">
      <w:r w:rsidRPr="001B549A">
        <w:t>La recherche ne peut se réduire à une simple réponse aux attentes sociales, mais elle gagnerait à s’en nourrir pour proposer des cadres méthodologiques et d’analyse renouvelés.</w:t>
      </w:r>
    </w:p>
    <w:p w:rsidR="00CB68BE" w:rsidRDefault="001B549A" w:rsidP="001B549A">
      <w:pPr>
        <w:pStyle w:val="Titre3"/>
      </w:pPr>
      <w:r w:rsidRPr="001B549A">
        <w:t>Au moment de la conduite des projets de recherche</w:t>
      </w:r>
    </w:p>
    <w:p w:rsidR="001B549A" w:rsidRPr="001B549A" w:rsidRDefault="001B549A" w:rsidP="001B549A">
      <w:r w:rsidRPr="001B549A">
        <w:t>95% des répondants estiment qu’il est important de co-construire les projets de recherche avec la société.</w:t>
      </w:r>
    </w:p>
    <w:p w:rsidR="001B549A" w:rsidRPr="001B549A" w:rsidRDefault="001B549A" w:rsidP="001B549A">
      <w:r w:rsidRPr="001B549A">
        <w:t>La recherche participative reste peu soutenue et reconnue, avec un manque d’accompagnement côté recherche ou côté société.</w:t>
      </w:r>
    </w:p>
    <w:p w:rsidR="00CB68BE" w:rsidRDefault="001B549A" w:rsidP="001B549A">
      <w:r w:rsidRPr="001B549A">
        <w:t>Il est nécessaire de proposer des formes d’engagement diversifiées, adaptées aux envies et aux capacités de chacune et chacun.</w:t>
      </w:r>
    </w:p>
    <w:p w:rsidR="00CB68BE" w:rsidRDefault="001B549A" w:rsidP="001B549A">
      <w:pPr>
        <w:pStyle w:val="Titre2"/>
      </w:pPr>
      <w:bookmarkStart w:id="15" w:name="_Toc216865650"/>
      <w:r w:rsidRPr="001B549A">
        <w:t>Citations extraites des réponses à l’enquête en ligne</w:t>
      </w:r>
      <w:bookmarkEnd w:id="15"/>
    </w:p>
    <w:p w:rsidR="001B549A" w:rsidRPr="001B549A" w:rsidRDefault="001B549A" w:rsidP="001B549A">
      <w:r w:rsidRPr="001B549A">
        <w:t>« On ne sait pas à qui s’adresser et où porter notre besoin, ni comment. C’est là où des ponts et passerelles pourraient être créés pour les novices. »</w:t>
      </w:r>
    </w:p>
    <w:p w:rsidR="001B549A" w:rsidRPr="001B549A" w:rsidRDefault="001B549A" w:rsidP="001B549A">
      <w:r w:rsidRPr="001B549A">
        <w:t>« Où poser sa question, comment interroger la communauté scientifique / des acteurs du champ du handicap qui ont pu creuser ça? »</w:t>
      </w:r>
    </w:p>
    <w:p w:rsidR="001B549A" w:rsidRPr="001B549A" w:rsidRDefault="001B549A" w:rsidP="001B549A">
      <w:r w:rsidRPr="001B549A">
        <w:t>« En tant que militant actif sur le sujet du handicap j'aimerais que nous soyons systématiquement associés aux programmes de recherche en tant que citoyens en capacité d'autodétermination et de représentation. »</w:t>
      </w:r>
    </w:p>
    <w:p w:rsidR="001B549A" w:rsidRPr="001B549A" w:rsidRDefault="001B549A" w:rsidP="001B549A">
      <w:r w:rsidRPr="001B549A">
        <w:t>« Développer les liens entre sciences et société nécessite de développer des espaces de travail et de collaboration, ce qui demande du temps, et une ouverture à des cultures et des savoirs et compétences différents. Cela nécessite aussi des outils de communication qui sont peu connus des chercheurs. Au final, cela demande des financements dédiés, qui restent encore rares. »</w:t>
      </w:r>
    </w:p>
    <w:p w:rsidR="00CB68BE" w:rsidRDefault="001B549A" w:rsidP="001B549A">
      <w:pPr>
        <w:pStyle w:val="Titre2"/>
      </w:pPr>
      <w:bookmarkStart w:id="16" w:name="_Toc216865651"/>
      <w:r w:rsidRPr="001B549A">
        <w:t>Constat 5 : les difficultés de la mise en lien, préalable à la collaboration</w:t>
      </w:r>
      <w:bookmarkEnd w:id="16"/>
    </w:p>
    <w:p w:rsidR="00CB68BE" w:rsidRDefault="001B549A" w:rsidP="001B549A">
      <w:pPr>
        <w:pStyle w:val="Titre3"/>
      </w:pPr>
      <w:r>
        <w:t>Obstacles pratiques</w:t>
      </w:r>
    </w:p>
    <w:p w:rsidR="001B549A" w:rsidRDefault="001B549A" w:rsidP="0059092D">
      <w:r w:rsidRPr="001B549A">
        <w:t>Difficultés à identifier les chercheurs, à entrer en contact, à communiquer. Les annuaires et réseaux sont peu connus et peu adaptés aux usages de terrain.</w:t>
      </w:r>
      <w:r w:rsidRPr="001B549A">
        <w:cr/>
        <w:t>Manque de temps et de soutien institutionnel des chercheurs pour répondre aux sollicitations du te</w:t>
      </w:r>
      <w:r>
        <w:t xml:space="preserve">rrain. </w:t>
      </w:r>
    </w:p>
    <w:p w:rsidR="0059092D" w:rsidRDefault="001B549A" w:rsidP="0059092D">
      <w:r w:rsidRPr="001B549A">
        <w:t>Peu de renouvellement dans les relations partenariales, ce qui restreint la diversité des terrain</w:t>
      </w:r>
      <w:r w:rsidR="0059092D">
        <w:t>s et des points de vue étudiés.</w:t>
      </w:r>
    </w:p>
    <w:p w:rsidR="0059092D" w:rsidRDefault="0059092D" w:rsidP="0059092D">
      <w:pPr>
        <w:pStyle w:val="Titre3"/>
      </w:pPr>
      <w:r>
        <w:t>Des mondes séparés</w:t>
      </w:r>
    </w:p>
    <w:p w:rsidR="0059092D" w:rsidRDefault="0059092D" w:rsidP="0059092D">
      <w:r w:rsidRPr="0059092D">
        <w:t>Les acteurs de terrain ne connaissent pas bien les temporalités, les modes de fonctionnement ou les attendus de la recherche. La recherche est peu présente</w:t>
      </w:r>
      <w:r>
        <w:t xml:space="preserve"> dans les formations initiales.</w:t>
      </w:r>
    </w:p>
    <w:p w:rsidR="00CB68BE" w:rsidRDefault="0059092D" w:rsidP="0059092D">
      <w:r w:rsidRPr="0059092D">
        <w:lastRenderedPageBreak/>
        <w:t>Les chercheurs ne sont pas formés à collaborer et construire avec des acteurs issus d’autres mondes professionnels.</w:t>
      </w:r>
    </w:p>
    <w:p w:rsidR="0059092D" w:rsidRDefault="0059092D" w:rsidP="0059092D">
      <w:pPr>
        <w:pStyle w:val="Titre2"/>
      </w:pPr>
      <w:bookmarkStart w:id="17" w:name="_Toc216865652"/>
      <w:r w:rsidRPr="0059092D">
        <w:t>Citation extraite des entretiens collectifs</w:t>
      </w:r>
      <w:bookmarkEnd w:id="17"/>
    </w:p>
    <w:p w:rsidR="0059092D" w:rsidRDefault="0059092D" w:rsidP="0059092D">
      <w:r w:rsidRPr="0059092D">
        <w:t>« Je cherche souvent des intervenants sur les différents sujets et c’est difficile d’identifier les chercheurs qui travaillent sur nos sujets, ça marche de la bouche à l’oreille on cherche des numéros de téléphone de chercheurs chez nos collègues ou sur internet. »</w:t>
      </w:r>
    </w:p>
    <w:p w:rsidR="0059092D" w:rsidRDefault="0059092D" w:rsidP="0059092D">
      <w:pPr>
        <w:pStyle w:val="Titre2"/>
      </w:pPr>
      <w:bookmarkStart w:id="18" w:name="_Toc216865653"/>
      <w:r w:rsidRPr="0059092D">
        <w:t>Constat 6 : des acteurs du lien isolés, peu visibles et reconnus, en demande de soutien</w:t>
      </w:r>
      <w:bookmarkEnd w:id="18"/>
    </w:p>
    <w:p w:rsidR="0059092D" w:rsidRDefault="0059092D" w:rsidP="0059092D">
      <w:r w:rsidRPr="0059092D">
        <w:t>Rôle central de circulation des savoirs entre les mo</w:t>
      </w:r>
      <w:r>
        <w:t xml:space="preserve">ndes scientifiques et sociaux. </w:t>
      </w:r>
    </w:p>
    <w:p w:rsidR="0059092D" w:rsidRDefault="0059092D" w:rsidP="0059092D">
      <w:r w:rsidRPr="0059092D">
        <w:t>Ils orientent, traduisent, adaptent, relaient, relient, etc.</w:t>
      </w:r>
    </w:p>
    <w:p w:rsidR="0059092D" w:rsidRDefault="0059092D" w:rsidP="0059092D">
      <w:r w:rsidRPr="0059092D">
        <w:t>Des missions peu reconnues, visibles et soutenues, en termes de statut, de moyen,</w:t>
      </w:r>
      <w:r>
        <w:t xml:space="preserve"> d’ancrage institutionnel, etc.</w:t>
      </w:r>
    </w:p>
    <w:p w:rsidR="0059092D" w:rsidRDefault="0059092D" w:rsidP="0059092D">
      <w:r w:rsidRPr="0059092D">
        <w:t xml:space="preserve">Sentiment d’isolement.  </w:t>
      </w:r>
    </w:p>
    <w:p w:rsidR="0059092D" w:rsidRDefault="0059092D" w:rsidP="0059092D">
      <w:r w:rsidRPr="0059092D">
        <w:t>Besoins d’outillage et de formation</w:t>
      </w:r>
      <w:r>
        <w:t xml:space="preserve"> pour sortir du « bricolage ». </w:t>
      </w:r>
    </w:p>
    <w:p w:rsidR="0059092D" w:rsidRDefault="0059092D" w:rsidP="0059092D">
      <w:r>
        <w:t>Enjeu de professionnalisation.</w:t>
      </w:r>
    </w:p>
    <w:p w:rsidR="0059092D" w:rsidRDefault="0059092D" w:rsidP="0059092D">
      <w:r w:rsidRPr="0059092D">
        <w:t>Souhait d’une mise en réseau.</w:t>
      </w:r>
    </w:p>
    <w:p w:rsidR="0059092D" w:rsidRDefault="00D84EAE" w:rsidP="00D84EAE">
      <w:pPr>
        <w:pStyle w:val="Titre2"/>
      </w:pPr>
      <w:bookmarkStart w:id="19" w:name="_Toc216865654"/>
      <w:r w:rsidRPr="00D84EAE">
        <w:t>Constat 7 : un dialogue avec la décision publique encore à construire</w:t>
      </w:r>
      <w:bookmarkEnd w:id="19"/>
    </w:p>
    <w:p w:rsidR="0059092D" w:rsidRDefault="00D84EAE" w:rsidP="0059092D">
      <w:r w:rsidRPr="00D84EAE">
        <w:t>Un dialogue qui se déploie dans un double mouvement où les acteurs académiques doivent adopter une démarche d’aller-vers, et les pouvoirs publics doivent soutenir et rendre possible cet engagement en posant un cadre propice au dialogue.</w:t>
      </w:r>
    </w:p>
    <w:p w:rsidR="0059092D" w:rsidRDefault="00D84EAE" w:rsidP="0059092D">
      <w:r w:rsidRPr="00D84EAE">
        <w:t>Les circuits de prise de décision et d’écriture du droit restent peu lisibles pour les chercheurs, encore davantage dans le cadre d’une politique décentralisée qui se déploie à toutes les échelles territoriales.</w:t>
      </w:r>
    </w:p>
    <w:p w:rsidR="0059092D" w:rsidRDefault="00D84EAE" w:rsidP="0059092D">
      <w:r w:rsidRPr="00D84EAE">
        <w:t>Les acteurs de la recherche en SHS sont peu nombreux, isolés et dispersés. Leur organisation est peu lisible.</w:t>
      </w:r>
    </w:p>
    <w:p w:rsidR="0059092D" w:rsidRDefault="00D84EAE" w:rsidP="0059092D">
      <w:r w:rsidRPr="00D84EAE">
        <w:t>Ces acteurs ne parlent pas le même langage, ne sont pas contraints par les mêmes temporalités, ne suivent pas les mêmes logiques d’actions, ni n’ont les mêmes priorités ; cela entretient un fonctionnement en silo.</w:t>
      </w:r>
    </w:p>
    <w:p w:rsidR="0059092D" w:rsidRDefault="00D84EAE" w:rsidP="0059092D">
      <w:r w:rsidRPr="00D84EAE">
        <w:t>Un dialogue qui doit se déployer dans le cadre d’une gouvernance de l’action publique réunissant l’ensemble des acteurs ayant voix au chapitre, encore trop peu, voire pas du tout réunis, pour discuter des politiques publiques de l’autonomie.</w:t>
      </w:r>
    </w:p>
    <w:p w:rsidR="0059092D" w:rsidRDefault="00D84EAE" w:rsidP="00D84EAE">
      <w:pPr>
        <w:pStyle w:val="Titre2"/>
      </w:pPr>
      <w:bookmarkStart w:id="20" w:name="_Toc216865655"/>
      <w:r w:rsidRPr="00D84EAE">
        <w:t>Citation extraite des réponses à l’enquête en ligne</w:t>
      </w:r>
      <w:bookmarkEnd w:id="20"/>
    </w:p>
    <w:p w:rsidR="00D84EAE" w:rsidRPr="00D84EAE" w:rsidRDefault="00D84EAE" w:rsidP="00D84EAE">
      <w:r w:rsidRPr="00D84EAE">
        <w:t>« Dans le secteur du handicap, les politiques publiques ne tiennent pas suffisamment compte des connaissances scientifiques, en particulier des SHS. L'une des raisons majeures de cette situation provient du fait que les responsables, qu'il s'agisse des responsables politiques, des fonctionnaires en charge de la mise en oeuvre, ou des directeurs des ESMS, ont une faible connaissance de ce qu'est une activité de Recherche. La coopération n'en est que plus difficile. »</w:t>
      </w:r>
    </w:p>
    <w:p w:rsidR="0059092D" w:rsidRDefault="00D84EAE" w:rsidP="00D84EAE">
      <w:pPr>
        <w:pStyle w:val="Titre2"/>
      </w:pPr>
      <w:bookmarkStart w:id="21" w:name="_Toc216865656"/>
      <w:r w:rsidRPr="00D84EAE">
        <w:lastRenderedPageBreak/>
        <w:t>En résumé</w:t>
      </w:r>
      <w:bookmarkEnd w:id="21"/>
    </w:p>
    <w:p w:rsidR="00D84EAE" w:rsidRPr="00D84EAE" w:rsidRDefault="00D84EAE" w:rsidP="00D84EAE">
      <w:r w:rsidRPr="00D84EAE">
        <w:t>Constat 1 : un intérêt partagé pour renforcer les liens science-société.</w:t>
      </w:r>
    </w:p>
    <w:p w:rsidR="00D84EAE" w:rsidRPr="00D84EAE" w:rsidRDefault="00D84EAE" w:rsidP="00D84EAE">
      <w:r w:rsidRPr="00D84EAE">
        <w:t>Constat 2 : la recherche perçue comme ressource, mais sous-mobilisée et parfois contestée.</w:t>
      </w:r>
    </w:p>
    <w:p w:rsidR="00D84EAE" w:rsidRPr="00D84EAE" w:rsidRDefault="00D84EAE" w:rsidP="00D84EAE">
      <w:r w:rsidRPr="00D84EAE">
        <w:t>Constat 3 : les connaissances issues de la recherche trop peu mobilisables.</w:t>
      </w:r>
    </w:p>
    <w:p w:rsidR="00D84EAE" w:rsidRPr="00D84EAE" w:rsidRDefault="00D84EAE" w:rsidP="00D84EAE">
      <w:r w:rsidRPr="00D84EAE">
        <w:t>Constat 4 : une aspiration forte à une recherche plus inclusive.</w:t>
      </w:r>
    </w:p>
    <w:p w:rsidR="00D84EAE" w:rsidRPr="00D84EAE" w:rsidRDefault="00D84EAE" w:rsidP="00D84EAE">
      <w:r w:rsidRPr="00D84EAE">
        <w:t>Constat 5 : des difficultés à entrer en lien, puis pour collaborer.</w:t>
      </w:r>
    </w:p>
    <w:p w:rsidR="00D84EAE" w:rsidRPr="00D84EAE" w:rsidRDefault="00D84EAE" w:rsidP="00D84EAE">
      <w:r w:rsidRPr="00D84EAE">
        <w:t>Constat 6 : des acteurs du lien peu visibles, isolés et peu reconnus, en demande de soutien.</w:t>
      </w:r>
    </w:p>
    <w:p w:rsidR="0059092D" w:rsidRDefault="00D84EAE" w:rsidP="00D84EAE">
      <w:r w:rsidRPr="00D84EAE">
        <w:t>Constat 7 : un dialogue avec la décision publique encore à construire.</w:t>
      </w:r>
    </w:p>
    <w:p w:rsidR="0059092D" w:rsidRDefault="00D84EAE" w:rsidP="00D84EAE">
      <w:pPr>
        <w:pStyle w:val="Titre1"/>
      </w:pPr>
      <w:bookmarkStart w:id="22" w:name="_Toc216865657"/>
      <w:r w:rsidRPr="00D84EAE">
        <w:t>Notre proposition : l’agora de l’autonomie, une maison commune pour les liens science-société</w:t>
      </w:r>
      <w:bookmarkEnd w:id="22"/>
    </w:p>
    <w:p w:rsidR="0059092D" w:rsidRDefault="00D84EAE" w:rsidP="0059092D">
      <w:r>
        <w:t xml:space="preserve">Par </w:t>
      </w:r>
      <w:r w:rsidRPr="00D84EAE">
        <w:t>Marianne Vigneulle et Caroline Pigeon</w:t>
      </w:r>
      <w:r>
        <w:t>.</w:t>
      </w:r>
    </w:p>
    <w:p w:rsidR="00D84EAE" w:rsidRDefault="00D84EAE" w:rsidP="00D84EAE">
      <w:pPr>
        <w:pStyle w:val="Titre2"/>
      </w:pPr>
      <w:bookmarkStart w:id="23" w:name="_Toc216865658"/>
      <w:r w:rsidRPr="00D84EAE">
        <w:t>Les lignes directrices du projet</w:t>
      </w:r>
      <w:bookmarkEnd w:id="23"/>
    </w:p>
    <w:p w:rsidR="0059092D" w:rsidRDefault="00D84EAE" w:rsidP="00D84EAE">
      <w:pPr>
        <w:pStyle w:val="Titre3"/>
      </w:pPr>
      <w:r>
        <w:t>Faire maison commune</w:t>
      </w:r>
    </w:p>
    <w:p w:rsidR="00D84EAE" w:rsidRPr="00D84EAE" w:rsidRDefault="00D84EAE" w:rsidP="00D84EAE">
      <w:r w:rsidRPr="00D84EAE">
        <w:t>Avec toutes les parties-prenantes, personnes et structures concernées ou intéressées par les questions de handicap et de vieillissement (scientifiques, personnes concernées, aidantes et aidants, professionnels, associations, institutions, etc.).</w:t>
      </w:r>
    </w:p>
    <w:p w:rsidR="00D84EAE" w:rsidRPr="00D84EAE" w:rsidRDefault="00D84EAE" w:rsidP="00D84EAE">
      <w:r w:rsidRPr="00D84EAE">
        <w:t>Valoriser, relier et structurer les dynamiques et leur donner une visibilité dans un espace commun.</w:t>
      </w:r>
    </w:p>
    <w:p w:rsidR="00D84EAE" w:rsidRDefault="00D84EAE" w:rsidP="00D84EAE">
      <w:r w:rsidRPr="00D84EAE">
        <w:t xml:space="preserve"> Sans uniformiser ni remplacer les pratiques et initiatives existantes, mais en les inscrivant dans une dynamique collective.</w:t>
      </w:r>
    </w:p>
    <w:p w:rsidR="00D84EAE" w:rsidRDefault="00D84EAE" w:rsidP="00D84EAE">
      <w:pPr>
        <w:pStyle w:val="Titre3"/>
      </w:pPr>
      <w:r>
        <w:t>Autour de 4 axes de travail</w:t>
      </w:r>
    </w:p>
    <w:p w:rsidR="00D84EAE" w:rsidRPr="00D84EAE" w:rsidRDefault="00D84EAE" w:rsidP="00D84EAE">
      <w:r w:rsidRPr="00D84EAE">
        <w:t xml:space="preserve">Faciliter l’accès aux résultats de la recherche, et leur appropriation. </w:t>
      </w:r>
    </w:p>
    <w:p w:rsidR="00D84EAE" w:rsidRPr="00D84EAE" w:rsidRDefault="00D84EAE" w:rsidP="00D84EAE">
      <w:r w:rsidRPr="00D84EAE">
        <w:t>Favoriser la prise en compte de la demande sociale à toutes les étapes de la recherche.</w:t>
      </w:r>
    </w:p>
    <w:p w:rsidR="00D84EAE" w:rsidRPr="00D84EAE" w:rsidRDefault="00D84EAE" w:rsidP="00D84EAE">
      <w:r w:rsidRPr="00D84EAE">
        <w:t>Soutenir le croisement des savoirs et le travail en commun.</w:t>
      </w:r>
    </w:p>
    <w:p w:rsidR="00D84EAE" w:rsidRDefault="00D84EAE" w:rsidP="00D84EAE">
      <w:r w:rsidRPr="00D84EAE">
        <w:t>Animer une communauté professionnelle des métiers du lien science-société.</w:t>
      </w:r>
    </w:p>
    <w:p w:rsidR="0059092D" w:rsidRPr="00D84EAE" w:rsidRDefault="00D84EAE" w:rsidP="00D84EAE">
      <w:pPr>
        <w:pStyle w:val="Titre3"/>
      </w:pPr>
      <w:r w:rsidRPr="00D84EAE">
        <w:t>Selon une démarche modulaire et évolutive</w:t>
      </w:r>
    </w:p>
    <w:p w:rsidR="00D84EAE" w:rsidRPr="00D84EAE" w:rsidRDefault="00D84EAE" w:rsidP="00D84EAE">
      <w:r w:rsidRPr="00D84EAE">
        <w:t>Un dispositif modulaire composé de plusieurs actions complémentaires, reliées par un espace numérique.</w:t>
      </w:r>
    </w:p>
    <w:p w:rsidR="00D84EAE" w:rsidRPr="00D84EAE" w:rsidRDefault="00D84EAE" w:rsidP="00D84EAE">
      <w:r w:rsidRPr="00D84EAE">
        <w:t>Un « dispositif socle » partant des besoins déjà identifiés.</w:t>
      </w:r>
    </w:p>
    <w:p w:rsidR="00D84EAE" w:rsidRDefault="00D84EAE" w:rsidP="00D84EAE">
      <w:r w:rsidRPr="00D84EAE">
        <w:t>Un projet évolutif et participatif, susceptible d’intégrer de nouvelles actions en lien les besoins identifiés collectivement et les moyens alloués.</w:t>
      </w:r>
    </w:p>
    <w:p w:rsidR="0059092D" w:rsidRDefault="00D84EAE" w:rsidP="00D84EAE">
      <w:pPr>
        <w:pStyle w:val="Titre2"/>
      </w:pPr>
      <w:bookmarkStart w:id="24" w:name="_Toc216865659"/>
      <w:r w:rsidRPr="00D84EAE">
        <w:t>Les contours du « dispositif socle »</w:t>
      </w:r>
      <w:bookmarkEnd w:id="24"/>
    </w:p>
    <w:p w:rsidR="0059092D" w:rsidRDefault="00D84EAE" w:rsidP="0059092D">
      <w:r w:rsidRPr="00D84EAE">
        <w:t>Un outil numériqu</w:t>
      </w:r>
      <w:r>
        <w:t>e, ou la matérialisation de la « maison commune »</w:t>
      </w:r>
      <w:r w:rsidRPr="00D84EAE">
        <w:t>.</w:t>
      </w:r>
    </w:p>
    <w:p w:rsidR="0059092D" w:rsidRDefault="00D84EAE" w:rsidP="0059092D">
      <w:r w:rsidRPr="00D84EAE">
        <w:t>Un portail de valorisation des formats de médiation scientifique.</w:t>
      </w:r>
    </w:p>
    <w:p w:rsidR="0059092D" w:rsidRDefault="00D84EAE" w:rsidP="0059092D">
      <w:r w:rsidRPr="00D84EAE">
        <w:lastRenderedPageBreak/>
        <w:t>Un espace de remontée et de partage des questions, des besoins ou des préoccupations à l’attention des acteurs de la recherche.</w:t>
      </w:r>
    </w:p>
    <w:p w:rsidR="0059092D" w:rsidRDefault="00D84EAE" w:rsidP="0059092D">
      <w:r w:rsidRPr="00D84EAE">
        <w:t>Un parcours de formation à la recherche appliquée et participative.</w:t>
      </w:r>
    </w:p>
    <w:p w:rsidR="0059092D" w:rsidRDefault="00D84EAE" w:rsidP="0059092D">
      <w:r w:rsidRPr="00D84EAE">
        <w:t>La création et l’animation d’un réseau professionnel des métiers du lien science-société.</w:t>
      </w:r>
    </w:p>
    <w:p w:rsidR="0059092D" w:rsidRDefault="00D84EAE" w:rsidP="00D84EAE">
      <w:pPr>
        <w:pStyle w:val="Titre2"/>
      </w:pPr>
      <w:bookmarkStart w:id="25" w:name="_Toc216865660"/>
      <w:r w:rsidRPr="00D84EAE">
        <w:t>A moyen terme, place à la coconstruction</w:t>
      </w:r>
      <w:bookmarkEnd w:id="25"/>
    </w:p>
    <w:p w:rsidR="00D84EAE" w:rsidRDefault="00D84EAE" w:rsidP="00D84EAE">
      <w:r w:rsidRPr="00D84EAE">
        <w:t>En fonction de la nature des partenariats, des besoins identifiés collectivement, et des ressources humaines et financières allouées à l’agora, une diversité d’actions est susceptible d’être mise en œuvre.</w:t>
      </w:r>
    </w:p>
    <w:p w:rsidR="00D84EAE" w:rsidRPr="00D84EAE" w:rsidRDefault="00D84EAE" w:rsidP="00D84EAE">
      <w:r w:rsidRPr="00D84EAE">
        <w:t>Exemples d’actions qui ont pu être évoquées dans le cadre de la consultation :</w:t>
      </w:r>
    </w:p>
    <w:p w:rsidR="00D84EAE" w:rsidRPr="00D84EAE" w:rsidRDefault="00D84EAE" w:rsidP="00D84EAE">
      <w:pPr>
        <w:pStyle w:val="Paragraphedeliste"/>
        <w:numPr>
          <w:ilvl w:val="0"/>
          <w:numId w:val="1"/>
        </w:numPr>
      </w:pPr>
      <w:r w:rsidRPr="00D84EAE">
        <w:t>Financement et accompagnement des travaux de recherche de niveau M2 en lien avec les besoins de recherche recueillis (cf. Boutiques des sciences).</w:t>
      </w:r>
    </w:p>
    <w:p w:rsidR="00D84EAE" w:rsidRPr="00D84EAE" w:rsidRDefault="00D84EAE" w:rsidP="00D84EAE">
      <w:pPr>
        <w:pStyle w:val="Paragraphedeliste"/>
        <w:numPr>
          <w:ilvl w:val="0"/>
          <w:numId w:val="1"/>
        </w:numPr>
      </w:pPr>
      <w:r w:rsidRPr="00D84EAE">
        <w:t>Création d’une plateforme de mise en lien pour les collaborations science-société.</w:t>
      </w:r>
    </w:p>
    <w:p w:rsidR="00D84EAE" w:rsidRPr="00D84EAE" w:rsidRDefault="00D84EAE" w:rsidP="00D84EAE">
      <w:pPr>
        <w:pStyle w:val="Paragraphedeliste"/>
        <w:numPr>
          <w:ilvl w:val="0"/>
          <w:numId w:val="1"/>
        </w:numPr>
      </w:pPr>
      <w:r w:rsidRPr="00D84EAE">
        <w:t>Organisation de résidences thématiques science-société.</w:t>
      </w:r>
    </w:p>
    <w:p w:rsidR="00D84EAE" w:rsidRPr="00D84EAE" w:rsidRDefault="00D84EAE" w:rsidP="00D84EAE">
      <w:pPr>
        <w:pStyle w:val="Paragraphedeliste"/>
        <w:numPr>
          <w:ilvl w:val="0"/>
          <w:numId w:val="1"/>
        </w:numPr>
      </w:pPr>
      <w:r w:rsidRPr="00D84EAE">
        <w:t>Organisation de rencontres territoriales.</w:t>
      </w:r>
    </w:p>
    <w:p w:rsidR="00D84EAE" w:rsidRPr="00D84EAE" w:rsidRDefault="00D84EAE" w:rsidP="00D84EAE">
      <w:pPr>
        <w:pStyle w:val="Paragraphedeliste"/>
        <w:numPr>
          <w:ilvl w:val="0"/>
          <w:numId w:val="1"/>
        </w:numPr>
      </w:pPr>
      <w:r w:rsidRPr="00D84EAE">
        <w:t>Accompagnement à l'utilisation et la mobilisation des connaissances scientifiques (courtage de connaissances).</w:t>
      </w:r>
    </w:p>
    <w:p w:rsidR="00D84EAE" w:rsidRPr="00D84EAE" w:rsidRDefault="00D84EAE" w:rsidP="00D84EAE">
      <w:pPr>
        <w:pStyle w:val="Paragraphedeliste"/>
        <w:numPr>
          <w:ilvl w:val="0"/>
          <w:numId w:val="1"/>
        </w:numPr>
      </w:pPr>
      <w:r w:rsidRPr="00D84EAE">
        <w:t>Déclinaison de projets de recherche en contenus de formation.</w:t>
      </w:r>
    </w:p>
    <w:p w:rsidR="0059092D" w:rsidRDefault="00D84EAE" w:rsidP="00D84EAE">
      <w:pPr>
        <w:pStyle w:val="Titre2"/>
      </w:pPr>
      <w:bookmarkStart w:id="26" w:name="_Toc216865661"/>
      <w:r w:rsidRPr="00D84EAE">
        <w:t>Les clés de réussite</w:t>
      </w:r>
      <w:bookmarkEnd w:id="26"/>
    </w:p>
    <w:p w:rsidR="00D84EAE" w:rsidRPr="00D84EAE" w:rsidRDefault="00D84EAE" w:rsidP="00D84EAE">
      <w:r w:rsidRPr="00D84EAE">
        <w:t>Les conditions nécessaires pour le déploiement progressif de l’agora de l’autonomie, son appropriation par ses publics et la construction collective d’un espace durable de dialogue entre science et société sont :</w:t>
      </w:r>
    </w:p>
    <w:p w:rsidR="00D84EAE" w:rsidRPr="00D84EAE" w:rsidRDefault="00D84EAE" w:rsidP="00D84EAE">
      <w:pPr>
        <w:pStyle w:val="Paragraphedeliste"/>
        <w:numPr>
          <w:ilvl w:val="0"/>
          <w:numId w:val="1"/>
        </w:numPr>
      </w:pPr>
      <w:r w:rsidRPr="00D84EAE">
        <w:t>Un budget d’amorçage conséquent ainsi que des moyens humains et financiers dédiés.</w:t>
      </w:r>
    </w:p>
    <w:p w:rsidR="00D84EAE" w:rsidRPr="00D84EAE" w:rsidRDefault="00D84EAE" w:rsidP="00D84EAE">
      <w:pPr>
        <w:pStyle w:val="Paragraphedeliste"/>
        <w:numPr>
          <w:ilvl w:val="0"/>
          <w:numId w:val="1"/>
        </w:numPr>
      </w:pPr>
      <w:r w:rsidRPr="00D84EAE">
        <w:t>Une coconstruction avec les contributeurs et utilisateurs dès la phase pilote.</w:t>
      </w:r>
    </w:p>
    <w:p w:rsidR="00D84EAE" w:rsidRPr="00D84EAE" w:rsidRDefault="00D84EAE" w:rsidP="00D84EAE">
      <w:pPr>
        <w:pStyle w:val="Paragraphedeliste"/>
        <w:numPr>
          <w:ilvl w:val="0"/>
          <w:numId w:val="1"/>
        </w:numPr>
      </w:pPr>
      <w:r w:rsidRPr="00D84EAE">
        <w:t>Une souplesse et une modularité de l’agora.</w:t>
      </w:r>
    </w:p>
    <w:p w:rsidR="00D84EAE" w:rsidRPr="00D84EAE" w:rsidRDefault="00D84EAE" w:rsidP="00D84EAE">
      <w:pPr>
        <w:pStyle w:val="Paragraphedeliste"/>
        <w:numPr>
          <w:ilvl w:val="0"/>
          <w:numId w:val="1"/>
        </w:numPr>
      </w:pPr>
      <w:r w:rsidRPr="00D84EAE">
        <w:t>Une pérennité qui dépendra de la capacité à élargir la communauté de celles et ceux qui s’y reconnaissent.</w:t>
      </w:r>
    </w:p>
    <w:p w:rsidR="0059092D" w:rsidRDefault="00D84EAE" w:rsidP="00622567">
      <w:pPr>
        <w:pStyle w:val="Titre1"/>
      </w:pPr>
      <w:bookmarkStart w:id="27" w:name="_Toc216865662"/>
      <w:r w:rsidRPr="00D84EAE">
        <w:t>Conclusion</w:t>
      </w:r>
      <w:bookmarkEnd w:id="27"/>
    </w:p>
    <w:p w:rsidR="0059092D" w:rsidRDefault="00D84EAE" w:rsidP="0059092D">
      <w:r>
        <w:t xml:space="preserve">Par </w:t>
      </w:r>
      <w:r w:rsidRPr="00D84EAE">
        <w:t>Caroline Pigeon</w:t>
      </w:r>
    </w:p>
    <w:p w:rsidR="00D84EAE" w:rsidRPr="00D84EAE" w:rsidRDefault="00D84EAE" w:rsidP="00D84EAE">
      <w:r w:rsidRPr="00D84EAE">
        <w:t>Constat partagé d’un souhait d’aller vers une recherche plus accessible, plus ouverte à la participation, mieux connectée aux préoccupations sociales et davantage en dialogue avec les acteurs de terrain comme avec les décideurs publics.</w:t>
      </w:r>
    </w:p>
    <w:p w:rsidR="00D84EAE" w:rsidRPr="00D84EAE" w:rsidRDefault="00D84EAE" w:rsidP="00D84EAE">
      <w:r w:rsidRPr="00D84EAE">
        <w:t>L’agora de l’autonomie comme :</w:t>
      </w:r>
    </w:p>
    <w:p w:rsidR="00D84EAE" w:rsidRPr="00D84EAE" w:rsidRDefault="00D84EAE" w:rsidP="00D84EAE">
      <w:pPr>
        <w:pStyle w:val="Paragraphedeliste"/>
        <w:numPr>
          <w:ilvl w:val="0"/>
          <w:numId w:val="1"/>
        </w:numPr>
      </w:pPr>
      <w:r w:rsidRPr="00D84EAE">
        <w:t>Une réponse politique à une demande sociale qui affirme avec force que le savoir est un bien commun, et que sa démocratisation est un enjeu de justice sociale.</w:t>
      </w:r>
    </w:p>
    <w:p w:rsidR="00D84EAE" w:rsidRDefault="00D84EAE" w:rsidP="00FC57D6">
      <w:pPr>
        <w:pStyle w:val="Paragraphedeliste"/>
        <w:numPr>
          <w:ilvl w:val="0"/>
          <w:numId w:val="1"/>
        </w:numPr>
      </w:pPr>
      <w:r w:rsidRPr="00D84EAE">
        <w:t>Un levier d’actions concrètes, un outil d’animation collective et un moteur de renouvellement des pratiques de production, diffusion et appropriation des connaissances.</w:t>
      </w:r>
    </w:p>
    <w:p w:rsidR="00622567" w:rsidRDefault="00622567">
      <w:r>
        <w:br w:type="page"/>
      </w:r>
    </w:p>
    <w:p w:rsidR="00622567" w:rsidRDefault="00B10D5C" w:rsidP="00B10D5C">
      <w:pPr>
        <w:pStyle w:val="Titre1"/>
      </w:pPr>
      <w:bookmarkStart w:id="28" w:name="_Toc216865663"/>
      <w:r w:rsidRPr="00B10D5C">
        <w:lastRenderedPageBreak/>
        <w:t>Pour aller plu</w:t>
      </w:r>
      <w:r w:rsidRPr="00AE40EE">
        <w:rPr>
          <w:highlight w:val="yellow"/>
        </w:rPr>
        <w:t>s</w:t>
      </w:r>
      <w:r w:rsidRPr="00B10D5C">
        <w:t xml:space="preserve"> loin</w:t>
      </w:r>
      <w:bookmarkEnd w:id="28"/>
    </w:p>
    <w:p w:rsidR="00000000" w:rsidRPr="00AE40EE" w:rsidRDefault="00875FAC" w:rsidP="00AE40EE">
      <w:r w:rsidRPr="00AE40EE">
        <w:t>Etude de faisabilité d’un dispositif de soutien aux liens science-société : l’Agora de l’autonomie :</w:t>
      </w:r>
    </w:p>
    <w:p w:rsidR="00000000" w:rsidRPr="00AE40EE" w:rsidRDefault="00875FAC" w:rsidP="00AE40EE">
      <w:pPr>
        <w:pStyle w:val="Paragraphedeliste"/>
        <w:numPr>
          <w:ilvl w:val="0"/>
          <w:numId w:val="1"/>
        </w:numPr>
      </w:pPr>
      <w:hyperlink r:id="rId8" w:history="1">
        <w:r w:rsidRPr="00AE40EE">
          <w:rPr>
            <w:rStyle w:val="Lienhypertexte"/>
          </w:rPr>
          <w:t>Consulter la synthèse</w:t>
        </w:r>
      </w:hyperlink>
      <w:r w:rsidRPr="00AE40EE">
        <w:t>.</w:t>
      </w:r>
    </w:p>
    <w:p w:rsidR="00000000" w:rsidRPr="00AE40EE" w:rsidRDefault="00875FAC" w:rsidP="00AE40EE">
      <w:pPr>
        <w:pStyle w:val="Paragraphedeliste"/>
        <w:numPr>
          <w:ilvl w:val="0"/>
          <w:numId w:val="1"/>
        </w:numPr>
      </w:pPr>
      <w:hyperlink r:id="rId9" w:history="1">
        <w:r w:rsidRPr="00AE40EE">
          <w:rPr>
            <w:rStyle w:val="Lienhypertexte"/>
          </w:rPr>
          <w:t>Consulter l’étude complète</w:t>
        </w:r>
      </w:hyperlink>
      <w:r w:rsidRPr="00AE40EE">
        <w:t>.</w:t>
      </w:r>
    </w:p>
    <w:p w:rsidR="00000000" w:rsidRPr="00AE40EE" w:rsidRDefault="00875FAC" w:rsidP="00AE40EE">
      <w:pPr>
        <w:pStyle w:val="Paragraphedeliste"/>
        <w:numPr>
          <w:ilvl w:val="0"/>
          <w:numId w:val="1"/>
        </w:numPr>
      </w:pPr>
      <w:hyperlink r:id="rId10" w:history="1">
        <w:r w:rsidRPr="00AE40EE">
          <w:rPr>
            <w:rStyle w:val="Lienhypertexte"/>
          </w:rPr>
          <w:t>Accéder à la page dédiée à l’étude sur le site du PPR Autonomie</w:t>
        </w:r>
      </w:hyperlink>
      <w:r w:rsidRPr="00AE40EE">
        <w:t>.</w:t>
      </w:r>
    </w:p>
    <w:p w:rsidR="00000000" w:rsidRPr="00AE40EE" w:rsidRDefault="00875FAC" w:rsidP="00AE40EE">
      <w:r w:rsidRPr="00AE40EE">
        <w:t>Journée des métiers d'interface entre recherche, institutions et société dans les domaines du handicap et du vieillissement. Se rencontrer, se connaître, s’organiser :</w:t>
      </w:r>
    </w:p>
    <w:p w:rsidR="00000000" w:rsidRPr="00AE40EE" w:rsidRDefault="00875FAC" w:rsidP="00AE40EE">
      <w:pPr>
        <w:pStyle w:val="Paragraphedeliste"/>
        <w:numPr>
          <w:ilvl w:val="0"/>
          <w:numId w:val="1"/>
        </w:numPr>
      </w:pPr>
      <w:hyperlink r:id="rId11" w:history="1">
        <w:r w:rsidRPr="00AE40EE">
          <w:rPr>
            <w:rStyle w:val="Lienhypertexte"/>
          </w:rPr>
          <w:t>S’inscrire à la journée du 10 février 2026</w:t>
        </w:r>
      </w:hyperlink>
      <w:r w:rsidRPr="00AE40EE">
        <w:t>.</w:t>
      </w:r>
    </w:p>
    <w:p w:rsidR="00000000" w:rsidRPr="00AE40EE" w:rsidRDefault="00875FAC" w:rsidP="00AE40EE">
      <w:pPr>
        <w:pStyle w:val="Paragraphedeliste"/>
        <w:numPr>
          <w:ilvl w:val="0"/>
          <w:numId w:val="1"/>
        </w:numPr>
      </w:pPr>
      <w:hyperlink r:id="rId12" w:history="1">
        <w:r w:rsidRPr="00AE40EE">
          <w:rPr>
            <w:rStyle w:val="Lienhypertexte"/>
          </w:rPr>
          <w:t>Accéder à la p</w:t>
        </w:r>
        <w:r w:rsidRPr="00AE40EE">
          <w:rPr>
            <w:rStyle w:val="Lienhypertexte"/>
          </w:rPr>
          <w:t>age dédiée à la journée sur le site du PPR Autonomie</w:t>
        </w:r>
      </w:hyperlink>
      <w:r w:rsidRPr="00AE40EE">
        <w:t>.</w:t>
      </w:r>
    </w:p>
    <w:p w:rsidR="00AE40EE" w:rsidRPr="00AE40EE" w:rsidRDefault="00AE40EE" w:rsidP="00AE40EE"/>
    <w:sectPr w:rsidR="00AE40EE" w:rsidRPr="00AE40EE" w:rsidSect="00622567">
      <w:headerReference w:type="default" r:id="rId13"/>
      <w:foot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FAC" w:rsidRDefault="00875FAC" w:rsidP="0059092D">
      <w:pPr>
        <w:spacing w:after="0" w:line="240" w:lineRule="auto"/>
      </w:pPr>
      <w:r>
        <w:separator/>
      </w:r>
    </w:p>
  </w:endnote>
  <w:endnote w:type="continuationSeparator" w:id="0">
    <w:p w:rsidR="00875FAC" w:rsidRDefault="00875FAC" w:rsidP="00590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8174594"/>
      <w:docPartObj>
        <w:docPartGallery w:val="Page Numbers (Bottom of Page)"/>
        <w:docPartUnique/>
      </w:docPartObj>
    </w:sdtPr>
    <w:sdtContent>
      <w:p w:rsidR="00622567" w:rsidRDefault="00622567" w:rsidP="00622567">
        <w:pPr>
          <w:pStyle w:val="Pieddepage"/>
        </w:pPr>
        <w:r>
          <w:t>Vers un dispositif partagé de soutien aux liens science-société</w:t>
        </w:r>
        <w:r>
          <w:t>.</w:t>
        </w:r>
      </w:p>
      <w:p w:rsidR="00622567" w:rsidRDefault="00622567" w:rsidP="00622567">
        <w:pPr>
          <w:pStyle w:val="Pieddepage"/>
        </w:pPr>
        <w:r>
          <w:t>Version texte accessible du support de présentation pour la restitution publique d’une étude de faisabilité</w:t>
        </w:r>
        <w:r>
          <w:t>.</w:t>
        </w:r>
      </w:p>
      <w:p w:rsidR="00622567" w:rsidRDefault="00622567">
        <w:pPr>
          <w:pStyle w:val="Pieddepage"/>
          <w:jc w:val="right"/>
        </w:pPr>
        <w:r w:rsidRPr="00622567">
          <w:rPr>
            <w:b/>
          </w:rPr>
          <w:fldChar w:fldCharType="begin"/>
        </w:r>
        <w:r w:rsidRPr="00622567">
          <w:rPr>
            <w:b/>
          </w:rPr>
          <w:instrText>PAGE   \* MERGEFORMAT</w:instrText>
        </w:r>
        <w:r w:rsidRPr="00622567">
          <w:rPr>
            <w:b/>
          </w:rPr>
          <w:fldChar w:fldCharType="separate"/>
        </w:r>
        <w:r w:rsidR="00B10F30">
          <w:rPr>
            <w:b/>
            <w:noProof/>
          </w:rPr>
          <w:t>9</w:t>
        </w:r>
        <w:r w:rsidRPr="00622567">
          <w:rPr>
            <w:b/>
          </w:rPr>
          <w:fldChar w:fldCharType="end"/>
        </w:r>
        <w:r>
          <w:t xml:space="preserve"> sur </w:t>
        </w:r>
        <w:r w:rsidR="00B10D5C">
          <w:t>9</w:t>
        </w:r>
      </w:p>
    </w:sdtContent>
  </w:sdt>
  <w:p w:rsidR="00622567" w:rsidRDefault="0062256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FAC" w:rsidRDefault="00875FAC" w:rsidP="0059092D">
      <w:pPr>
        <w:spacing w:after="0" w:line="240" w:lineRule="auto"/>
      </w:pPr>
      <w:r>
        <w:separator/>
      </w:r>
    </w:p>
  </w:footnote>
  <w:footnote w:type="continuationSeparator" w:id="0">
    <w:p w:rsidR="00875FAC" w:rsidRDefault="00875FAC" w:rsidP="00590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567" w:rsidRDefault="00622567">
    <w:pPr>
      <w:pStyle w:val="En-tte"/>
    </w:pPr>
    <w:r>
      <w:t>Groupe de t</w:t>
    </w:r>
    <w:r w:rsidR="00B10D5C">
      <w:t>ravail interinstitutionnel Fedrh</w:t>
    </w:r>
    <w:r>
      <w:t>a-FIRAH-PPR Autonomie-CNRS</w:t>
    </w:r>
    <w:r>
      <w:tab/>
      <w:t>18 décembre 2025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567" w:rsidRDefault="00622567" w:rsidP="00622567">
    <w:pPr>
      <w:pStyle w:val="En-tte"/>
      <w:jc w:val="center"/>
    </w:pPr>
    <w:r>
      <w:rPr>
        <w:noProof/>
        <w:lang w:eastAsia="fr-FR"/>
      </w:rPr>
      <w:drawing>
        <wp:inline distT="0" distB="0" distL="0" distR="0">
          <wp:extent cx="4851649" cy="800141"/>
          <wp:effectExtent l="0" t="0" r="6350" b="0"/>
          <wp:docPr id="1" name="Image 1" title="Logos Fedrha-FIRAH-CNRS-PPR Autono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iere-ppr-cnrs-firah-fedrha.PNG"/>
                  <pic:cNvPicPr/>
                </pic:nvPicPr>
                <pic:blipFill>
                  <a:blip r:embed="rId1">
                    <a:extLst>
                      <a:ext uri="{28A0092B-C50C-407E-A947-70E740481C1C}">
                        <a14:useLocalDpi xmlns:a14="http://schemas.microsoft.com/office/drawing/2010/main" val="0"/>
                      </a:ext>
                    </a:extLst>
                  </a:blip>
                  <a:stretch>
                    <a:fillRect/>
                  </a:stretch>
                </pic:blipFill>
                <pic:spPr>
                  <a:xfrm>
                    <a:off x="0" y="0"/>
                    <a:ext cx="4851649" cy="8001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8E3762"/>
    <w:multiLevelType w:val="hybridMultilevel"/>
    <w:tmpl w:val="F4F4F952"/>
    <w:lvl w:ilvl="0" w:tplc="DBD056A8">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5117713"/>
    <w:multiLevelType w:val="hybridMultilevel"/>
    <w:tmpl w:val="CAC4361E"/>
    <w:lvl w:ilvl="0" w:tplc="ADA05B72">
      <w:start w:val="1"/>
      <w:numFmt w:val="bullet"/>
      <w:lvlText w:val="•"/>
      <w:lvlJc w:val="left"/>
      <w:pPr>
        <w:tabs>
          <w:tab w:val="num" w:pos="720"/>
        </w:tabs>
        <w:ind w:left="720" w:hanging="360"/>
      </w:pPr>
      <w:rPr>
        <w:rFonts w:ascii="Arial" w:hAnsi="Arial" w:hint="default"/>
      </w:rPr>
    </w:lvl>
    <w:lvl w:ilvl="1" w:tplc="C182282E">
      <w:start w:val="78"/>
      <w:numFmt w:val="bullet"/>
      <w:lvlText w:val="•"/>
      <w:lvlJc w:val="left"/>
      <w:pPr>
        <w:tabs>
          <w:tab w:val="num" w:pos="1440"/>
        </w:tabs>
        <w:ind w:left="1440" w:hanging="360"/>
      </w:pPr>
      <w:rPr>
        <w:rFonts w:ascii="Arial" w:hAnsi="Arial" w:hint="default"/>
      </w:rPr>
    </w:lvl>
    <w:lvl w:ilvl="2" w:tplc="D63A2E0A" w:tentative="1">
      <w:start w:val="1"/>
      <w:numFmt w:val="bullet"/>
      <w:lvlText w:val="•"/>
      <w:lvlJc w:val="left"/>
      <w:pPr>
        <w:tabs>
          <w:tab w:val="num" w:pos="2160"/>
        </w:tabs>
        <w:ind w:left="2160" w:hanging="360"/>
      </w:pPr>
      <w:rPr>
        <w:rFonts w:ascii="Arial" w:hAnsi="Arial" w:hint="default"/>
      </w:rPr>
    </w:lvl>
    <w:lvl w:ilvl="3" w:tplc="892CDEF2" w:tentative="1">
      <w:start w:val="1"/>
      <w:numFmt w:val="bullet"/>
      <w:lvlText w:val="•"/>
      <w:lvlJc w:val="left"/>
      <w:pPr>
        <w:tabs>
          <w:tab w:val="num" w:pos="2880"/>
        </w:tabs>
        <w:ind w:left="2880" w:hanging="360"/>
      </w:pPr>
      <w:rPr>
        <w:rFonts w:ascii="Arial" w:hAnsi="Arial" w:hint="default"/>
      </w:rPr>
    </w:lvl>
    <w:lvl w:ilvl="4" w:tplc="9B36009A" w:tentative="1">
      <w:start w:val="1"/>
      <w:numFmt w:val="bullet"/>
      <w:lvlText w:val="•"/>
      <w:lvlJc w:val="left"/>
      <w:pPr>
        <w:tabs>
          <w:tab w:val="num" w:pos="3600"/>
        </w:tabs>
        <w:ind w:left="3600" w:hanging="360"/>
      </w:pPr>
      <w:rPr>
        <w:rFonts w:ascii="Arial" w:hAnsi="Arial" w:hint="default"/>
      </w:rPr>
    </w:lvl>
    <w:lvl w:ilvl="5" w:tplc="5540FBE0" w:tentative="1">
      <w:start w:val="1"/>
      <w:numFmt w:val="bullet"/>
      <w:lvlText w:val="•"/>
      <w:lvlJc w:val="left"/>
      <w:pPr>
        <w:tabs>
          <w:tab w:val="num" w:pos="4320"/>
        </w:tabs>
        <w:ind w:left="4320" w:hanging="360"/>
      </w:pPr>
      <w:rPr>
        <w:rFonts w:ascii="Arial" w:hAnsi="Arial" w:hint="default"/>
      </w:rPr>
    </w:lvl>
    <w:lvl w:ilvl="6" w:tplc="8982A148" w:tentative="1">
      <w:start w:val="1"/>
      <w:numFmt w:val="bullet"/>
      <w:lvlText w:val="•"/>
      <w:lvlJc w:val="left"/>
      <w:pPr>
        <w:tabs>
          <w:tab w:val="num" w:pos="5040"/>
        </w:tabs>
        <w:ind w:left="5040" w:hanging="360"/>
      </w:pPr>
      <w:rPr>
        <w:rFonts w:ascii="Arial" w:hAnsi="Arial" w:hint="default"/>
      </w:rPr>
    </w:lvl>
    <w:lvl w:ilvl="7" w:tplc="E030569E" w:tentative="1">
      <w:start w:val="1"/>
      <w:numFmt w:val="bullet"/>
      <w:lvlText w:val="•"/>
      <w:lvlJc w:val="left"/>
      <w:pPr>
        <w:tabs>
          <w:tab w:val="num" w:pos="5760"/>
        </w:tabs>
        <w:ind w:left="5760" w:hanging="360"/>
      </w:pPr>
      <w:rPr>
        <w:rFonts w:ascii="Arial" w:hAnsi="Arial" w:hint="default"/>
      </w:rPr>
    </w:lvl>
    <w:lvl w:ilvl="8" w:tplc="5A4EF508"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D74"/>
    <w:rsid w:val="000C0D74"/>
    <w:rsid w:val="001B549A"/>
    <w:rsid w:val="0059092D"/>
    <w:rsid w:val="00622567"/>
    <w:rsid w:val="00875FAC"/>
    <w:rsid w:val="00A7790D"/>
    <w:rsid w:val="00AE40EE"/>
    <w:rsid w:val="00B10D5C"/>
    <w:rsid w:val="00B10F30"/>
    <w:rsid w:val="00CB68BE"/>
    <w:rsid w:val="00D7040A"/>
    <w:rsid w:val="00D84EAE"/>
    <w:rsid w:val="00E415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8AEC2F"/>
  <w15:chartTrackingRefBased/>
  <w15:docId w15:val="{41EAB2F2-BA33-4827-A736-56D629E0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0C0D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0C0D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0C0D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622567"/>
    <w:pPr>
      <w:jc w:val="center"/>
    </w:pPr>
    <w:rPr>
      <w:b/>
      <w:sz w:val="28"/>
    </w:rPr>
  </w:style>
  <w:style w:type="character" w:customStyle="1" w:styleId="TitreCar">
    <w:name w:val="Titre Car"/>
    <w:basedOn w:val="Policepardfaut"/>
    <w:link w:val="Titre"/>
    <w:uiPriority w:val="10"/>
    <w:rsid w:val="00622567"/>
    <w:rPr>
      <w:b/>
      <w:sz w:val="28"/>
    </w:rPr>
  </w:style>
  <w:style w:type="character" w:customStyle="1" w:styleId="Titre2Car">
    <w:name w:val="Titre 2 Car"/>
    <w:basedOn w:val="Policepardfaut"/>
    <w:link w:val="Titre2"/>
    <w:uiPriority w:val="9"/>
    <w:rsid w:val="000C0D74"/>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0C0D74"/>
    <w:rPr>
      <w:rFonts w:asciiTheme="majorHAnsi" w:eastAsiaTheme="majorEastAsia" w:hAnsiTheme="majorHAnsi" w:cstheme="majorBidi"/>
      <w:color w:val="1F4D78" w:themeColor="accent1" w:themeShade="7F"/>
      <w:sz w:val="24"/>
      <w:szCs w:val="24"/>
    </w:rPr>
  </w:style>
  <w:style w:type="character" w:customStyle="1" w:styleId="Titre1Car">
    <w:name w:val="Titre 1 Car"/>
    <w:basedOn w:val="Policepardfaut"/>
    <w:link w:val="Titre1"/>
    <w:uiPriority w:val="9"/>
    <w:rsid w:val="000C0D74"/>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CB68BE"/>
    <w:pPr>
      <w:ind w:left="720"/>
      <w:contextualSpacing/>
    </w:pPr>
  </w:style>
  <w:style w:type="paragraph" w:styleId="En-tte">
    <w:name w:val="header"/>
    <w:basedOn w:val="Normal"/>
    <w:link w:val="En-tteCar"/>
    <w:uiPriority w:val="99"/>
    <w:unhideWhenUsed/>
    <w:rsid w:val="0059092D"/>
    <w:pPr>
      <w:tabs>
        <w:tab w:val="center" w:pos="4536"/>
        <w:tab w:val="right" w:pos="9072"/>
      </w:tabs>
      <w:spacing w:after="0" w:line="240" w:lineRule="auto"/>
    </w:pPr>
  </w:style>
  <w:style w:type="character" w:customStyle="1" w:styleId="En-tteCar">
    <w:name w:val="En-tête Car"/>
    <w:basedOn w:val="Policepardfaut"/>
    <w:link w:val="En-tte"/>
    <w:uiPriority w:val="99"/>
    <w:rsid w:val="0059092D"/>
  </w:style>
  <w:style w:type="paragraph" w:styleId="Pieddepage">
    <w:name w:val="footer"/>
    <w:basedOn w:val="Normal"/>
    <w:link w:val="PieddepageCar"/>
    <w:uiPriority w:val="99"/>
    <w:unhideWhenUsed/>
    <w:rsid w:val="0059092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9092D"/>
  </w:style>
  <w:style w:type="paragraph" w:styleId="Sansinterligne">
    <w:name w:val="No Spacing"/>
    <w:uiPriority w:val="1"/>
    <w:qFormat/>
    <w:rsid w:val="0059092D"/>
    <w:pPr>
      <w:spacing w:after="0" w:line="240" w:lineRule="auto"/>
    </w:pPr>
  </w:style>
  <w:style w:type="paragraph" w:styleId="TM1">
    <w:name w:val="toc 1"/>
    <w:basedOn w:val="Normal"/>
    <w:next w:val="Normal"/>
    <w:autoRedefine/>
    <w:uiPriority w:val="39"/>
    <w:unhideWhenUsed/>
    <w:rsid w:val="00622567"/>
    <w:pPr>
      <w:spacing w:after="100"/>
    </w:pPr>
  </w:style>
  <w:style w:type="paragraph" w:styleId="TM2">
    <w:name w:val="toc 2"/>
    <w:basedOn w:val="Normal"/>
    <w:next w:val="Normal"/>
    <w:autoRedefine/>
    <w:uiPriority w:val="39"/>
    <w:unhideWhenUsed/>
    <w:rsid w:val="00622567"/>
    <w:pPr>
      <w:spacing w:after="100"/>
      <w:ind w:left="220"/>
    </w:pPr>
  </w:style>
  <w:style w:type="character" w:styleId="Lienhypertexte">
    <w:name w:val="Hyperlink"/>
    <w:basedOn w:val="Policepardfaut"/>
    <w:uiPriority w:val="99"/>
    <w:unhideWhenUsed/>
    <w:rsid w:val="006225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2218">
      <w:bodyDiv w:val="1"/>
      <w:marLeft w:val="0"/>
      <w:marRight w:val="0"/>
      <w:marTop w:val="0"/>
      <w:marBottom w:val="0"/>
      <w:divBdr>
        <w:top w:val="none" w:sz="0" w:space="0" w:color="auto"/>
        <w:left w:val="none" w:sz="0" w:space="0" w:color="auto"/>
        <w:bottom w:val="none" w:sz="0" w:space="0" w:color="auto"/>
        <w:right w:val="none" w:sz="0" w:space="0" w:color="auto"/>
      </w:divBdr>
      <w:divsChild>
        <w:div w:id="590822828">
          <w:marLeft w:val="547"/>
          <w:marRight w:val="0"/>
          <w:marTop w:val="0"/>
          <w:marBottom w:val="0"/>
          <w:divBdr>
            <w:top w:val="none" w:sz="0" w:space="0" w:color="auto"/>
            <w:left w:val="none" w:sz="0" w:space="0" w:color="auto"/>
            <w:bottom w:val="none" w:sz="0" w:space="0" w:color="auto"/>
            <w:right w:val="none" w:sz="0" w:space="0" w:color="auto"/>
          </w:divBdr>
        </w:div>
      </w:divsChild>
    </w:div>
    <w:div w:id="562984635">
      <w:bodyDiv w:val="1"/>
      <w:marLeft w:val="0"/>
      <w:marRight w:val="0"/>
      <w:marTop w:val="0"/>
      <w:marBottom w:val="0"/>
      <w:divBdr>
        <w:top w:val="none" w:sz="0" w:space="0" w:color="auto"/>
        <w:left w:val="none" w:sz="0" w:space="0" w:color="auto"/>
        <w:bottom w:val="none" w:sz="0" w:space="0" w:color="auto"/>
        <w:right w:val="none" w:sz="0" w:space="0" w:color="auto"/>
      </w:divBdr>
      <w:divsChild>
        <w:div w:id="1027416159">
          <w:marLeft w:val="360"/>
          <w:marRight w:val="0"/>
          <w:marTop w:val="200"/>
          <w:marBottom w:val="0"/>
          <w:divBdr>
            <w:top w:val="none" w:sz="0" w:space="0" w:color="auto"/>
            <w:left w:val="none" w:sz="0" w:space="0" w:color="auto"/>
            <w:bottom w:val="none" w:sz="0" w:space="0" w:color="auto"/>
            <w:right w:val="none" w:sz="0" w:space="0" w:color="auto"/>
          </w:divBdr>
        </w:div>
        <w:div w:id="1293973259">
          <w:marLeft w:val="1080"/>
          <w:marRight w:val="0"/>
          <w:marTop w:val="100"/>
          <w:marBottom w:val="0"/>
          <w:divBdr>
            <w:top w:val="none" w:sz="0" w:space="0" w:color="auto"/>
            <w:left w:val="none" w:sz="0" w:space="0" w:color="auto"/>
            <w:bottom w:val="none" w:sz="0" w:space="0" w:color="auto"/>
            <w:right w:val="none" w:sz="0" w:space="0" w:color="auto"/>
          </w:divBdr>
        </w:div>
        <w:div w:id="1612663003">
          <w:marLeft w:val="1080"/>
          <w:marRight w:val="0"/>
          <w:marTop w:val="100"/>
          <w:marBottom w:val="0"/>
          <w:divBdr>
            <w:top w:val="none" w:sz="0" w:space="0" w:color="auto"/>
            <w:left w:val="none" w:sz="0" w:space="0" w:color="auto"/>
            <w:bottom w:val="none" w:sz="0" w:space="0" w:color="auto"/>
            <w:right w:val="none" w:sz="0" w:space="0" w:color="auto"/>
          </w:divBdr>
        </w:div>
        <w:div w:id="1826428584">
          <w:marLeft w:val="1080"/>
          <w:marRight w:val="0"/>
          <w:marTop w:val="100"/>
          <w:marBottom w:val="0"/>
          <w:divBdr>
            <w:top w:val="none" w:sz="0" w:space="0" w:color="auto"/>
            <w:left w:val="none" w:sz="0" w:space="0" w:color="auto"/>
            <w:bottom w:val="none" w:sz="0" w:space="0" w:color="auto"/>
            <w:right w:val="none" w:sz="0" w:space="0" w:color="auto"/>
          </w:divBdr>
        </w:div>
        <w:div w:id="1142187404">
          <w:marLeft w:val="360"/>
          <w:marRight w:val="0"/>
          <w:marTop w:val="200"/>
          <w:marBottom w:val="0"/>
          <w:divBdr>
            <w:top w:val="none" w:sz="0" w:space="0" w:color="auto"/>
            <w:left w:val="none" w:sz="0" w:space="0" w:color="auto"/>
            <w:bottom w:val="none" w:sz="0" w:space="0" w:color="auto"/>
            <w:right w:val="none" w:sz="0" w:space="0" w:color="auto"/>
          </w:divBdr>
        </w:div>
        <w:div w:id="622617164">
          <w:marLeft w:val="1080"/>
          <w:marRight w:val="0"/>
          <w:marTop w:val="100"/>
          <w:marBottom w:val="0"/>
          <w:divBdr>
            <w:top w:val="none" w:sz="0" w:space="0" w:color="auto"/>
            <w:left w:val="none" w:sz="0" w:space="0" w:color="auto"/>
            <w:bottom w:val="none" w:sz="0" w:space="0" w:color="auto"/>
            <w:right w:val="none" w:sz="0" w:space="0" w:color="auto"/>
          </w:divBdr>
        </w:div>
        <w:div w:id="1779134793">
          <w:marLeft w:val="1080"/>
          <w:marRight w:val="0"/>
          <w:marTop w:val="100"/>
          <w:marBottom w:val="0"/>
          <w:divBdr>
            <w:top w:val="none" w:sz="0" w:space="0" w:color="auto"/>
            <w:left w:val="none" w:sz="0" w:space="0" w:color="auto"/>
            <w:bottom w:val="none" w:sz="0" w:space="0" w:color="auto"/>
            <w:right w:val="none" w:sz="0" w:space="0" w:color="auto"/>
          </w:divBdr>
        </w:div>
      </w:divsChild>
    </w:div>
    <w:div w:id="1057901340">
      <w:bodyDiv w:val="1"/>
      <w:marLeft w:val="0"/>
      <w:marRight w:val="0"/>
      <w:marTop w:val="0"/>
      <w:marBottom w:val="0"/>
      <w:divBdr>
        <w:top w:val="none" w:sz="0" w:space="0" w:color="auto"/>
        <w:left w:val="none" w:sz="0" w:space="0" w:color="auto"/>
        <w:bottom w:val="none" w:sz="0" w:space="0" w:color="auto"/>
        <w:right w:val="none" w:sz="0" w:space="0" w:color="auto"/>
      </w:divBdr>
    </w:div>
    <w:div w:id="1060782821">
      <w:bodyDiv w:val="1"/>
      <w:marLeft w:val="0"/>
      <w:marRight w:val="0"/>
      <w:marTop w:val="0"/>
      <w:marBottom w:val="0"/>
      <w:divBdr>
        <w:top w:val="none" w:sz="0" w:space="0" w:color="auto"/>
        <w:left w:val="none" w:sz="0" w:space="0" w:color="auto"/>
        <w:bottom w:val="none" w:sz="0" w:space="0" w:color="auto"/>
        <w:right w:val="none" w:sz="0" w:space="0" w:color="auto"/>
      </w:divBdr>
      <w:divsChild>
        <w:div w:id="1227842668">
          <w:marLeft w:val="360"/>
          <w:marRight w:val="0"/>
          <w:marTop w:val="200"/>
          <w:marBottom w:val="0"/>
          <w:divBdr>
            <w:top w:val="none" w:sz="0" w:space="0" w:color="auto"/>
            <w:left w:val="none" w:sz="0" w:space="0" w:color="auto"/>
            <w:bottom w:val="none" w:sz="0" w:space="0" w:color="auto"/>
            <w:right w:val="none" w:sz="0" w:space="0" w:color="auto"/>
          </w:divBdr>
        </w:div>
        <w:div w:id="1550217125">
          <w:marLeft w:val="360"/>
          <w:marRight w:val="0"/>
          <w:marTop w:val="200"/>
          <w:marBottom w:val="0"/>
          <w:divBdr>
            <w:top w:val="none" w:sz="0" w:space="0" w:color="auto"/>
            <w:left w:val="none" w:sz="0" w:space="0" w:color="auto"/>
            <w:bottom w:val="none" w:sz="0" w:space="0" w:color="auto"/>
            <w:right w:val="none" w:sz="0" w:space="0" w:color="auto"/>
          </w:divBdr>
        </w:div>
        <w:div w:id="168771340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pr-autonomie.com/wp-content/uploads/2025/12/etude-faisabilite-agora-synthese-vpublique.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pr-autonomie.com/evenements/journee-des-metiers-dinterface-entre-recherche-institutions-et-societe-dans-les-domaines-du-handicap-et-du-vieillissement-se-rencontrer-se-connaitre-sorganise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rvey.miti.cnrs.fr/limesurvey/index.php/372785?lang=f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pr-autonomie.com/publications/etude-de-faisabilite-dun-dispositif-de-soutien-aux-liens-science-societe-lagora-de-lautonomie/" TargetMode="External"/><Relationship Id="rId4" Type="http://schemas.openxmlformats.org/officeDocument/2006/relationships/settings" Target="settings.xml"/><Relationship Id="rId9" Type="http://schemas.openxmlformats.org/officeDocument/2006/relationships/hyperlink" Target="https://ppr-autonomie.com/wp-content/uploads/2025/12/etude-faisabilite-agora-complet-vpublique.pdf"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AC610-2963-4D37-8679-A00718944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9</Pages>
  <Words>3224</Words>
  <Characters>17732</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CNRS-DR16</Company>
  <LinksUpToDate>false</LinksUpToDate>
  <CharactersWithSpaces>20915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agora-autonomie-restitution-texte</dc:title>
  <dc:subject/>
  <dc:creator>MARQUET Claudia</dc:creator>
  <cp:keywords/>
  <dc:description>Version texte du support de présentation de l'évènement de restitution de l'étude de faisabilité du dispositif d'Agora de l'autonomie.</dc:description>
  <cp:lastModifiedBy>MARQUET Claudia</cp:lastModifiedBy>
  <cp:revision>10</cp:revision>
  <dcterms:created xsi:type="dcterms:W3CDTF">2025-12-17T08:45:00Z</dcterms:created>
  <dcterms:modified xsi:type="dcterms:W3CDTF">2025-12-17T11:08:00Z</dcterms:modified>
</cp:coreProperties>
</file>